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color w:val="auto"/>
          <w:sz w:val="72"/>
          <w:szCs w:val="72"/>
          <w:highlight w:val="none"/>
        </w:rPr>
      </w:pPr>
      <w:bookmarkStart w:id="0" w:name="_Toc15377193"/>
      <w:bookmarkStart w:id="1" w:name="_Toc15396597"/>
      <w:bookmarkStart w:id="2" w:name="_Toc15378441"/>
      <w:bookmarkStart w:id="3" w:name="_Toc15377425"/>
      <w:bookmarkStart w:id="4" w:name="_Toc15396475"/>
      <w:bookmarkStart w:id="5"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28566"/>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0"/>
      <w:bookmarkEnd w:id="1"/>
      <w:bookmarkEnd w:id="2"/>
      <w:bookmarkEnd w:id="3"/>
      <w:bookmarkEnd w:id="4"/>
      <w:bookmarkEnd w:id="6"/>
    </w:p>
    <w:bookmarkEnd w:id="5"/>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15377426"/>
      <w:bookmarkStart w:id="8" w:name="_Toc15396476"/>
      <w:bookmarkStart w:id="9" w:name="_Toc12929"/>
      <w:bookmarkStart w:id="10" w:name="_Toc15396598"/>
      <w:bookmarkStart w:id="11" w:name="_Toc15378442"/>
      <w:bookmarkStart w:id="12" w:name="_Toc15377194"/>
      <w:bookmarkStart w:id="13" w:name="_Toc15306268"/>
      <w:r>
        <w:rPr>
          <w:rFonts w:hint="eastAsia" w:ascii="方正小标宋简体" w:hAnsi="方正小标宋简体" w:eastAsia="方正小标宋简体" w:cs="方正小标宋简体"/>
          <w:color w:val="auto"/>
          <w:w w:val="85"/>
          <w:sz w:val="72"/>
          <w:szCs w:val="72"/>
          <w:highlight w:val="none"/>
          <w:lang w:eastAsia="zh-CN"/>
        </w:rPr>
        <w:t>中国民主建国会广元市委员会</w:t>
      </w:r>
      <w:r>
        <w:rPr>
          <w:rFonts w:hint="eastAsia" w:ascii="方正小标宋简体" w:hAnsi="方正小标宋简体" w:eastAsia="方正小标宋简体" w:cs="方正小标宋简体"/>
          <w:color w:val="auto"/>
          <w:sz w:val="72"/>
          <w:szCs w:val="72"/>
          <w:highlight w:val="none"/>
          <w:lang w:val="en-US" w:eastAsia="zh-CN"/>
        </w:rPr>
        <w:t>单位</w:t>
      </w:r>
      <w:r>
        <w:rPr>
          <w:rFonts w:hint="eastAsia" w:ascii="方正小标宋简体" w:hAnsi="方正小标宋简体" w:eastAsia="方正小标宋简体" w:cs="方正小标宋简体"/>
          <w:color w:val="auto"/>
          <w:sz w:val="72"/>
          <w:szCs w:val="72"/>
          <w:highlight w:val="none"/>
          <w:lang w:eastAsia="zh-CN"/>
        </w:rPr>
        <w:t>决算</w:t>
      </w:r>
      <w:bookmarkEnd w:id="7"/>
      <w:bookmarkEnd w:id="8"/>
      <w:bookmarkEnd w:id="9"/>
      <w:bookmarkEnd w:id="10"/>
      <w:bookmarkEnd w:id="11"/>
      <w:bookmarkEnd w:id="12"/>
      <w:bookmarkEnd w:id="13"/>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4"/>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7</w:t>
      </w:r>
      <w:bookmarkStart w:id="105" w:name="_GoBack"/>
      <w:bookmarkEnd w:id="105"/>
      <w:r>
        <w:rPr>
          <w:rFonts w:hint="eastAsia"/>
          <w:color w:val="auto"/>
          <w:highlight w:val="none"/>
        </w:rPr>
        <w:t>日</w:t>
      </w:r>
    </w:p>
    <w:sdt>
      <w:sdtPr>
        <w:rPr>
          <w:rFonts w:ascii="宋体" w:hAnsi="宋体" w:eastAsia="宋体" w:cs="Times New Roman"/>
          <w:kern w:val="2"/>
          <w:sz w:val="21"/>
          <w:szCs w:val="24"/>
          <w:lang w:val="en-US" w:eastAsia="zh-CN" w:bidi="ar-SA"/>
        </w:rPr>
        <w:id w:val="147454464"/>
        <w15:color w:val="DBDBDB"/>
        <w:docPartObj>
          <w:docPartGallery w:val="Table of Contents"/>
          <w:docPartUnique/>
        </w:docPartObj>
      </w:sdtPr>
      <w:sdtEndPr>
        <w:rPr>
          <w:rFonts w:ascii="Times New Roman" w:hAnsi="Times New Roman" w:eastAsia="宋体" w:cs="Times New Roman"/>
          <w:b/>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b/>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39"/>
            <w:tabs>
              <w:tab w:val="right" w:leader="dot" w:pos="8306"/>
            </w:tabs>
            <w:rPr>
              <w:b/>
            </w:rPr>
          </w:pPr>
          <w:r>
            <w:rPr>
              <w:b/>
              <w:color w:val="auto"/>
              <w:highlight w:val="none"/>
            </w:rPr>
            <w:fldChar w:fldCharType="begin"/>
          </w:r>
          <w:r>
            <w:rPr>
              <w:b/>
              <w:highlight w:val="none"/>
            </w:rPr>
            <w:instrText xml:space="preserve"> HYPERLINK \l _Toc25586 </w:instrText>
          </w:r>
          <w:r>
            <w:rPr>
              <w:b/>
              <w:highlight w:val="none"/>
            </w:rPr>
            <w:fldChar w:fldCharType="separate"/>
          </w:r>
          <w:r>
            <w:rPr>
              <w:rFonts w:hint="eastAsia" w:ascii="黑体" w:hAnsi="黑体" w:eastAsia="黑体"/>
              <w:b/>
              <w:highlight w:val="none"/>
            </w:rPr>
            <w:t xml:space="preserve">第一部分 </w:t>
          </w:r>
          <w:r>
            <w:rPr>
              <w:rFonts w:hint="eastAsia" w:ascii="黑体" w:hAnsi="黑体" w:eastAsia="黑体"/>
              <w:b/>
              <w:bCs w:val="0"/>
              <w:highlight w:val="none"/>
              <w:lang w:val="en-US"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_Toc25586 \h </w:instrText>
          </w:r>
          <w:r>
            <w:rPr>
              <w:b/>
            </w:rPr>
            <w:fldChar w:fldCharType="separate"/>
          </w:r>
          <w:r>
            <w:rPr>
              <w:b/>
            </w:rPr>
            <w:t>1</w:t>
          </w:r>
          <w:r>
            <w:rPr>
              <w:b/>
            </w:rPr>
            <w:fldChar w:fldCharType="end"/>
          </w:r>
          <w:r>
            <w:rPr>
              <w:b/>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_Toc25722 </w:instrText>
          </w:r>
          <w:r>
            <w:rPr>
              <w:highlight w:val="none"/>
            </w:rPr>
            <w:fldChar w:fldCharType="separate"/>
          </w:r>
          <w:r>
            <w:rPr>
              <w:rFonts w:hint="eastAsia" w:ascii="黑体" w:hAnsi="黑体" w:eastAsia="黑体"/>
              <w:lang w:eastAsia="zh-CN"/>
            </w:rPr>
            <w:t xml:space="preserve">一、 </w:t>
          </w:r>
          <w:r>
            <w:rPr>
              <w:rFonts w:hint="eastAsia" w:ascii="黑体" w:hAnsi="黑体" w:eastAsia="黑体"/>
              <w:highlight w:val="none"/>
              <w:lang w:val="en-US" w:eastAsia="zh-CN"/>
            </w:rPr>
            <w:t>单位</w:t>
          </w:r>
          <w:r>
            <w:rPr>
              <w:rFonts w:hint="eastAsia" w:ascii="黑体" w:hAnsi="黑体" w:eastAsia="黑体"/>
              <w:highlight w:val="none"/>
              <w:lang w:eastAsia="zh-CN"/>
            </w:rPr>
            <w:t>职责</w:t>
          </w:r>
          <w:r>
            <w:tab/>
          </w:r>
          <w:r>
            <w:fldChar w:fldCharType="begin"/>
          </w:r>
          <w:r>
            <w:instrText xml:space="preserve"> PAGEREF _Toc25722 \h </w:instrText>
          </w:r>
          <w:r>
            <w:fldChar w:fldCharType="separate"/>
          </w:r>
          <w:r>
            <w:t>1</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_Toc15424 </w:instrText>
          </w:r>
          <w:r>
            <w:rPr>
              <w:highlight w:val="none"/>
            </w:rPr>
            <w:fldChar w:fldCharType="separate"/>
          </w:r>
          <w:r>
            <w:rPr>
              <w:rFonts w:hint="eastAsia" w:ascii="黑体" w:hAnsi="黑体" w:eastAsia="黑体"/>
              <w:bCs w:val="0"/>
            </w:rPr>
            <w:t xml:space="preserve">二、 </w:t>
          </w:r>
          <w:r>
            <w:rPr>
              <w:rFonts w:hint="eastAsia" w:ascii="黑体" w:hAnsi="黑体" w:eastAsia="黑体"/>
              <w:highlight w:val="none"/>
            </w:rPr>
            <w:t>机</w:t>
          </w:r>
          <w:r>
            <w:rPr>
              <w:rFonts w:hint="eastAsia" w:ascii="黑体" w:hAnsi="黑体" w:eastAsia="黑体"/>
              <w:bCs w:val="0"/>
              <w:highlight w:val="none"/>
            </w:rPr>
            <w:t>构设置</w:t>
          </w:r>
          <w:r>
            <w:tab/>
          </w:r>
          <w:r>
            <w:fldChar w:fldCharType="begin"/>
          </w:r>
          <w:r>
            <w:instrText xml:space="preserve"> PAGEREF _Toc15424 \h </w:instrText>
          </w:r>
          <w:r>
            <w:fldChar w:fldCharType="separate"/>
          </w:r>
          <w:r>
            <w:t>1</w:t>
          </w:r>
          <w:r>
            <w:fldChar w:fldCharType="end"/>
          </w:r>
          <w:r>
            <w:rPr>
              <w:color w:val="auto"/>
              <w:highlight w:val="none"/>
            </w:rPr>
            <w:fldChar w:fldCharType="end"/>
          </w:r>
        </w:p>
        <w:p>
          <w:pPr>
            <w:pStyle w:val="39"/>
            <w:tabs>
              <w:tab w:val="right" w:leader="dot" w:pos="8306"/>
            </w:tabs>
            <w:rPr>
              <w:b/>
            </w:rPr>
          </w:pPr>
          <w:r>
            <w:rPr>
              <w:b/>
              <w:color w:val="auto"/>
              <w:highlight w:val="none"/>
            </w:rPr>
            <w:fldChar w:fldCharType="begin"/>
          </w:r>
          <w:r>
            <w:rPr>
              <w:b/>
              <w:highlight w:val="none"/>
            </w:rPr>
            <w:instrText xml:space="preserve"> HYPERLINK \l _Toc26604 </w:instrText>
          </w:r>
          <w:r>
            <w:rPr>
              <w:b/>
              <w:highlight w:val="none"/>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2022年度单位</w:t>
          </w:r>
          <w:r>
            <w:rPr>
              <w:rFonts w:hint="eastAsia" w:ascii="黑体" w:hAnsi="黑体" w:eastAsia="黑体"/>
              <w:b/>
              <w:bCs/>
              <w:highlight w:val="none"/>
            </w:rPr>
            <w:t>决算情况说明</w:t>
          </w:r>
          <w:r>
            <w:rPr>
              <w:b/>
            </w:rPr>
            <w:tab/>
          </w:r>
          <w:r>
            <w:rPr>
              <w:b/>
            </w:rPr>
            <w:fldChar w:fldCharType="begin"/>
          </w:r>
          <w:r>
            <w:rPr>
              <w:b/>
            </w:rPr>
            <w:instrText xml:space="preserve"> PAGEREF _Toc26604 \h </w:instrText>
          </w:r>
          <w:r>
            <w:rPr>
              <w:b/>
            </w:rPr>
            <w:fldChar w:fldCharType="separate"/>
          </w:r>
          <w:r>
            <w:rPr>
              <w:b/>
            </w:rPr>
            <w:t>1</w:t>
          </w:r>
          <w:r>
            <w:rPr>
              <w:b/>
            </w:rPr>
            <w:fldChar w:fldCharType="end"/>
          </w:r>
          <w:r>
            <w:rPr>
              <w:b/>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_Toc972 </w:instrText>
          </w:r>
          <w:r>
            <w:rPr>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_Toc972 \h </w:instrText>
          </w:r>
          <w:r>
            <w:fldChar w:fldCharType="separate"/>
          </w:r>
          <w:r>
            <w:t>1</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_Toc11710 </w:instrText>
          </w:r>
          <w:r>
            <w:rPr>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_Toc11710 \h </w:instrText>
          </w:r>
          <w:r>
            <w:fldChar w:fldCharType="separate"/>
          </w:r>
          <w:r>
            <w:t>2</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_Toc31918 </w:instrText>
          </w:r>
          <w:r>
            <w:rPr>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_Toc31918 \h </w:instrText>
          </w:r>
          <w:r>
            <w:fldChar w:fldCharType="separate"/>
          </w:r>
          <w:r>
            <w:t>2</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_Toc30262 </w:instrText>
          </w:r>
          <w:r>
            <w:rPr>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_Toc30262 \h </w:instrText>
          </w:r>
          <w:r>
            <w:fldChar w:fldCharType="separate"/>
          </w:r>
          <w:r>
            <w:t>3</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_Toc14314 </w:instrText>
          </w:r>
          <w:r>
            <w:rPr>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_Toc14314 \h </w:instrText>
          </w:r>
          <w:r>
            <w:fldChar w:fldCharType="separate"/>
          </w:r>
          <w:r>
            <w:t>3</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_Toc30593 </w:instrText>
          </w:r>
          <w:r>
            <w:rPr>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_Toc30593 \h </w:instrText>
          </w:r>
          <w:r>
            <w:fldChar w:fldCharType="separate"/>
          </w:r>
          <w:r>
            <w:t>5</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_Toc22746 </w:instrText>
          </w:r>
          <w:r>
            <w:rPr>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_Toc22746 \h </w:instrText>
          </w:r>
          <w:r>
            <w:fldChar w:fldCharType="separate"/>
          </w:r>
          <w:r>
            <w:t>6</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_Toc30671 </w:instrText>
          </w:r>
          <w:r>
            <w:rPr>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_Toc30671 \h </w:instrText>
          </w:r>
          <w:r>
            <w:fldChar w:fldCharType="separate"/>
          </w:r>
          <w:r>
            <w:t>7</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_Toc30310 </w:instrText>
          </w:r>
          <w:r>
            <w:rPr>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_Toc30310 \h </w:instrText>
          </w:r>
          <w:r>
            <w:fldChar w:fldCharType="separate"/>
          </w:r>
          <w:r>
            <w:t>7</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_Toc15090 </w:instrText>
          </w:r>
          <w:r>
            <w:rPr>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_Toc15090 \h </w:instrText>
          </w:r>
          <w:r>
            <w:fldChar w:fldCharType="separate"/>
          </w:r>
          <w:r>
            <w:t>7</w:t>
          </w:r>
          <w:r>
            <w:fldChar w:fldCharType="end"/>
          </w:r>
          <w:r>
            <w:rPr>
              <w:color w:val="auto"/>
              <w:highlight w:val="none"/>
            </w:rPr>
            <w:fldChar w:fldCharType="end"/>
          </w:r>
        </w:p>
        <w:p>
          <w:pPr>
            <w:pStyle w:val="39"/>
            <w:tabs>
              <w:tab w:val="right" w:leader="dot" w:pos="8306"/>
            </w:tabs>
            <w:rPr>
              <w:b/>
            </w:rPr>
          </w:pPr>
          <w:r>
            <w:rPr>
              <w:b/>
              <w:color w:val="auto"/>
              <w:highlight w:val="none"/>
            </w:rPr>
            <w:fldChar w:fldCharType="begin"/>
          </w:r>
          <w:r>
            <w:rPr>
              <w:b/>
              <w:highlight w:val="none"/>
            </w:rPr>
            <w:instrText xml:space="preserve"> HYPERLINK \l _Toc29770 </w:instrText>
          </w:r>
          <w:r>
            <w:rPr>
              <w:b/>
              <w:highlight w:val="none"/>
            </w:rPr>
            <w:fldChar w:fldCharType="separate"/>
          </w:r>
          <w:r>
            <w:rPr>
              <w:rFonts w:hint="eastAsia" w:ascii="黑体" w:hAnsi="黑体" w:eastAsia="黑体"/>
              <w:b/>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_Toc29770 \h </w:instrText>
          </w:r>
          <w:r>
            <w:rPr>
              <w:b/>
            </w:rPr>
            <w:fldChar w:fldCharType="separate"/>
          </w:r>
          <w:r>
            <w:rPr>
              <w:b/>
            </w:rPr>
            <w:t>10</w:t>
          </w:r>
          <w:r>
            <w:rPr>
              <w:b/>
            </w:rPr>
            <w:fldChar w:fldCharType="end"/>
          </w:r>
          <w:r>
            <w:rPr>
              <w:b/>
              <w:color w:val="auto"/>
              <w:highlight w:val="none"/>
            </w:rPr>
            <w:fldChar w:fldCharType="end"/>
          </w:r>
        </w:p>
        <w:p>
          <w:pPr>
            <w:pStyle w:val="39"/>
            <w:tabs>
              <w:tab w:val="right" w:leader="dot" w:pos="8306"/>
            </w:tabs>
            <w:rPr>
              <w:b/>
            </w:rPr>
          </w:pPr>
          <w:r>
            <w:rPr>
              <w:b/>
              <w:color w:val="auto"/>
              <w:highlight w:val="none"/>
            </w:rPr>
            <w:fldChar w:fldCharType="begin"/>
          </w:r>
          <w:r>
            <w:rPr>
              <w:b/>
              <w:highlight w:val="none"/>
            </w:rPr>
            <w:instrText xml:space="preserve"> HYPERLINK \l _Toc7037 </w:instrText>
          </w:r>
          <w:r>
            <w:rPr>
              <w:b/>
              <w:highlight w:val="none"/>
            </w:rPr>
            <w:fldChar w:fldCharType="separate"/>
          </w:r>
          <w:r>
            <w:rPr>
              <w:rFonts w:hint="eastAsia" w:ascii="黑体" w:hAnsi="黑体" w:eastAsia="黑体"/>
              <w:b/>
            </w:rPr>
            <w:t xml:space="preserve">第四部分 </w:t>
          </w:r>
          <w:r>
            <w:rPr>
              <w:rFonts w:hint="eastAsia" w:ascii="黑体" w:hAnsi="黑体" w:eastAsia="黑体"/>
              <w:b/>
              <w:highlight w:val="none"/>
            </w:rPr>
            <w:t>附件</w:t>
          </w:r>
          <w:r>
            <w:rPr>
              <w:b/>
            </w:rPr>
            <w:tab/>
          </w:r>
          <w:r>
            <w:rPr>
              <w:b/>
            </w:rPr>
            <w:fldChar w:fldCharType="begin"/>
          </w:r>
          <w:r>
            <w:rPr>
              <w:b/>
            </w:rPr>
            <w:instrText xml:space="preserve"> PAGEREF _Toc7037 \h </w:instrText>
          </w:r>
          <w:r>
            <w:rPr>
              <w:b/>
            </w:rPr>
            <w:fldChar w:fldCharType="separate"/>
          </w:r>
          <w:r>
            <w:rPr>
              <w:b/>
            </w:rPr>
            <w:t>12</w:t>
          </w:r>
          <w:r>
            <w:rPr>
              <w:b/>
            </w:rPr>
            <w:fldChar w:fldCharType="end"/>
          </w:r>
          <w:r>
            <w:rPr>
              <w:b/>
              <w:color w:val="auto"/>
              <w:highlight w:val="none"/>
            </w:rPr>
            <w:fldChar w:fldCharType="end"/>
          </w:r>
        </w:p>
        <w:p>
          <w:pPr>
            <w:pStyle w:val="39"/>
            <w:tabs>
              <w:tab w:val="right" w:leader="dot" w:pos="8306"/>
            </w:tabs>
            <w:rPr>
              <w:b/>
            </w:rPr>
          </w:pPr>
          <w:r>
            <w:rPr>
              <w:b/>
              <w:color w:val="auto"/>
              <w:highlight w:val="none"/>
            </w:rPr>
            <w:fldChar w:fldCharType="begin"/>
          </w:r>
          <w:r>
            <w:rPr>
              <w:b/>
              <w:highlight w:val="none"/>
            </w:rPr>
            <w:instrText xml:space="preserve"> HYPERLINK \l _Toc27558 </w:instrText>
          </w:r>
          <w:r>
            <w:rPr>
              <w:b/>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_Toc27558 \h </w:instrText>
          </w:r>
          <w:r>
            <w:rPr>
              <w:b/>
            </w:rPr>
            <w:fldChar w:fldCharType="separate"/>
          </w:r>
          <w:r>
            <w:rPr>
              <w:b/>
            </w:rPr>
            <w:t>18</w:t>
          </w:r>
          <w:r>
            <w:rPr>
              <w:b/>
            </w:rPr>
            <w:fldChar w:fldCharType="end"/>
          </w:r>
          <w:r>
            <w:rPr>
              <w:b/>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_Toc1325 </w:instrText>
          </w:r>
          <w:r>
            <w:rPr>
              <w:highlight w:val="none"/>
            </w:rPr>
            <w:fldChar w:fldCharType="separate"/>
          </w:r>
          <w:r>
            <w:rPr>
              <w:rFonts w:hint="eastAsia" w:ascii="仿宋" w:hAnsi="仿宋" w:eastAsia="仿宋"/>
              <w:szCs w:val="32"/>
              <w:highlight w:val="none"/>
            </w:rPr>
            <w:t>一、收</w:t>
          </w:r>
          <w:r>
            <w:rPr>
              <w:rFonts w:hint="eastAsia" w:ascii="仿宋" w:hAnsi="仿宋" w:eastAsia="仿宋"/>
              <w:bCs w:val="0"/>
              <w:szCs w:val="32"/>
              <w:highlight w:val="none"/>
            </w:rPr>
            <w:t>入支出决算总表</w:t>
          </w:r>
          <w:r>
            <w:tab/>
          </w:r>
          <w:r>
            <w:fldChar w:fldCharType="begin"/>
          </w:r>
          <w:r>
            <w:instrText xml:space="preserve"> PAGEREF _Toc1325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_Toc27404 </w:instrText>
          </w:r>
          <w:r>
            <w:rPr>
              <w:highlight w:val="none"/>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_Toc27404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_Toc31876 </w:instrText>
          </w:r>
          <w:r>
            <w:rPr>
              <w:highlight w:val="none"/>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_Toc31876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_Toc12176 </w:instrText>
          </w:r>
          <w:r>
            <w:rPr>
              <w:highlight w:val="none"/>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_Toc12176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_Toc3587 </w:instrText>
          </w:r>
          <w:r>
            <w:rPr>
              <w:highlight w:val="none"/>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_Toc3587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_Toc16917 </w:instrText>
          </w:r>
          <w:r>
            <w:rPr>
              <w:highlight w:val="none"/>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_Toc16917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_Toc21780 </w:instrText>
          </w:r>
          <w:r>
            <w:rPr>
              <w:highlight w:val="none"/>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_Toc21780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_Toc30243 </w:instrText>
          </w:r>
          <w:r>
            <w:rPr>
              <w:highlight w:val="none"/>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_Toc30243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_Toc3520 </w:instrText>
          </w:r>
          <w:r>
            <w:rPr>
              <w:highlight w:val="none"/>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_Toc3520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_Toc31681 </w:instrText>
          </w:r>
          <w:r>
            <w:rPr>
              <w:highlight w:val="none"/>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_Toc31681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_Toc25505 </w:instrText>
          </w:r>
          <w:r>
            <w:rPr>
              <w:highlight w:val="none"/>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_Toc25505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_Toc25862 </w:instrText>
          </w:r>
          <w:r>
            <w:rPr>
              <w:highlight w:val="none"/>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_Toc25862 \h </w:instrText>
          </w:r>
          <w:r>
            <w:fldChar w:fldCharType="separate"/>
          </w:r>
          <w:r>
            <w:t>18</w:t>
          </w:r>
          <w:r>
            <w:fldChar w:fldCharType="end"/>
          </w:r>
          <w:r>
            <w:rPr>
              <w:color w:val="auto"/>
              <w:highlight w:val="none"/>
            </w:rPr>
            <w:fldChar w:fldCharType="end"/>
          </w:r>
        </w:p>
        <w:p>
          <w:pPr>
            <w:pStyle w:val="40"/>
            <w:tabs>
              <w:tab w:val="right" w:leader="dot" w:pos="8306"/>
            </w:tabs>
          </w:pPr>
          <w:r>
            <w:rPr>
              <w:color w:val="auto"/>
              <w:highlight w:val="none"/>
            </w:rPr>
            <w:fldChar w:fldCharType="begin"/>
          </w:r>
          <w:r>
            <w:rPr>
              <w:highlight w:val="none"/>
            </w:rPr>
            <w:instrText xml:space="preserve"> HYPERLINK \l _Toc2489 </w:instrText>
          </w:r>
          <w:r>
            <w:rPr>
              <w:highlight w:val="none"/>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_Toc2489 \h </w:instrText>
          </w:r>
          <w:r>
            <w:fldChar w:fldCharType="separate"/>
          </w:r>
          <w:r>
            <w:t>18</w:t>
          </w:r>
          <w:r>
            <w:fldChar w:fldCharType="end"/>
          </w:r>
          <w:r>
            <w:rPr>
              <w:color w:val="auto"/>
              <w:highlight w:val="none"/>
            </w:rPr>
            <w:fldChar w:fldCharType="end"/>
          </w:r>
        </w:p>
        <w:p>
          <w:pPr>
            <w:pStyle w:val="16"/>
            <w:adjustRightInd w:val="0"/>
            <w:snapToGrid w:val="0"/>
            <w:spacing w:line="440" w:lineRule="exact"/>
            <w:jc w:val="left"/>
            <w:rPr>
              <w:rFonts w:hint="eastAsia" w:asciiTheme="minorEastAsia" w:hAnsiTheme="minorEastAsia" w:eastAsiaTheme="minorEastAsia" w:cstheme="minorEastAsia"/>
              <w:color w:val="auto"/>
              <w:sz w:val="24"/>
              <w:highlight w:val="none"/>
              <w:lang w:val="en-US" w:eastAsia="zh-CN"/>
            </w:rPr>
          </w:pPr>
          <w:r>
            <w:rPr>
              <w:b/>
              <w:color w:val="auto"/>
              <w:highlight w:val="none"/>
            </w:rPr>
            <w:fldChar w:fldCharType="end"/>
          </w:r>
        </w:p>
      </w:sdtContent>
    </w:sdt>
    <w:p>
      <w:pPr>
        <w:pStyle w:val="3"/>
        <w:jc w:val="center"/>
        <w:rPr>
          <w:rFonts w:hint="eastAsia" w:ascii="黑体" w:hAnsi="黑体" w:eastAsia="黑体"/>
          <w:b w:val="0"/>
          <w:color w:val="auto"/>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14" w:name="_Toc15396599"/>
      <w:bookmarkStart w:id="15" w:name="_Toc25586"/>
      <w:bookmarkStart w:id="16" w:name="_Toc15377196"/>
    </w:p>
    <w:p>
      <w:pPr>
        <w:pStyle w:val="3"/>
        <w:jc w:val="center"/>
        <w:rPr>
          <w:rStyle w:val="23"/>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Style w:val="23"/>
          <w:rFonts w:hint="eastAsia" w:ascii="黑体" w:hAnsi="黑体" w:eastAsia="黑体"/>
          <w:b w:val="0"/>
          <w:bCs w:val="0"/>
          <w:color w:val="auto"/>
          <w:highlight w:val="none"/>
          <w:lang w:val="en-US" w:eastAsia="zh-CN"/>
        </w:rPr>
        <w:t>单位</w:t>
      </w:r>
      <w:r>
        <w:rPr>
          <w:rStyle w:val="23"/>
          <w:rFonts w:hint="eastAsia" w:ascii="黑体" w:hAnsi="黑体" w:eastAsia="黑体"/>
          <w:b w:val="0"/>
          <w:bCs w:val="0"/>
          <w:color w:val="auto"/>
          <w:highlight w:val="none"/>
        </w:rPr>
        <w:t>概况</w:t>
      </w:r>
      <w:bookmarkEnd w:id="14"/>
      <w:bookmarkEnd w:id="15"/>
      <w:bookmarkEnd w:id="16"/>
    </w:p>
    <w:p>
      <w:pPr>
        <w:widowControl/>
        <w:jc w:val="left"/>
        <w:rPr>
          <w:rFonts w:ascii="黑体" w:eastAsia="黑体"/>
          <w:color w:val="auto"/>
          <w:sz w:val="32"/>
          <w:szCs w:val="32"/>
          <w:highlight w:val="none"/>
        </w:rPr>
      </w:pPr>
    </w:p>
    <w:p>
      <w:pPr>
        <w:pStyle w:val="4"/>
        <w:numPr>
          <w:ilvl w:val="0"/>
          <w:numId w:val="1"/>
        </w:numPr>
        <w:rPr>
          <w:rFonts w:hint="eastAsia" w:ascii="黑体" w:hAnsi="黑体" w:eastAsia="黑体"/>
          <w:b w:val="0"/>
          <w:color w:val="auto"/>
          <w:highlight w:val="none"/>
          <w:lang w:eastAsia="zh-CN"/>
        </w:rPr>
      </w:pPr>
      <w:bookmarkStart w:id="17" w:name="_Toc25722"/>
      <w:r>
        <w:rPr>
          <w:rFonts w:hint="eastAsia" w:ascii="黑体" w:hAnsi="黑体" w:eastAsia="黑体"/>
          <w:b w:val="0"/>
          <w:color w:val="auto"/>
          <w:highlight w:val="none"/>
          <w:lang w:val="en-US" w:eastAsia="zh-CN"/>
        </w:rPr>
        <w:t>单位</w:t>
      </w:r>
      <w:r>
        <w:rPr>
          <w:rFonts w:hint="eastAsia" w:ascii="黑体" w:hAnsi="黑体" w:eastAsia="黑体"/>
          <w:b w:val="0"/>
          <w:color w:val="auto"/>
          <w:highlight w:val="none"/>
          <w:lang w:eastAsia="zh-CN"/>
        </w:rPr>
        <w:t>职责</w:t>
      </w:r>
      <w:bookmarkEnd w:id="17"/>
    </w:p>
    <w:p>
      <w:pPr>
        <w:numPr>
          <w:ilvl w:val="0"/>
          <w:numId w:val="0"/>
        </w:numPr>
        <w:ind w:firstLine="640" w:firstLineChars="200"/>
        <w:rPr>
          <w:rFonts w:hint="eastAsia"/>
          <w:lang w:eastAsia="zh-CN"/>
        </w:rPr>
      </w:pPr>
      <w:r>
        <w:rPr>
          <w:rFonts w:hint="eastAsia" w:ascii="仿宋_GB2312" w:hAnsi="仿宋_GB2312" w:eastAsia="仿宋_GB2312" w:cs="仿宋_GB2312"/>
          <w:sz w:val="32"/>
          <w:szCs w:val="32"/>
        </w:rPr>
        <w:t>民建作为参政党主要肩负参政议政、民主监督、参加中国共产党的政治协商等工作职能。民建广元市委围绕参政议政、组织建设、社会服务、思想宣传教育、机关建设等重点开展工作，助推全市经济社会发展。</w:t>
      </w:r>
    </w:p>
    <w:p>
      <w:pPr>
        <w:pStyle w:val="4"/>
        <w:numPr>
          <w:ilvl w:val="0"/>
          <w:numId w:val="1"/>
        </w:numPr>
        <w:ind w:left="0" w:leftChars="0" w:firstLine="0" w:firstLineChars="0"/>
        <w:rPr>
          <w:rStyle w:val="24"/>
          <w:rFonts w:hint="eastAsia" w:ascii="黑体" w:hAnsi="黑体" w:eastAsia="黑体"/>
          <w:b w:val="0"/>
          <w:bCs w:val="0"/>
          <w:color w:val="auto"/>
          <w:highlight w:val="none"/>
        </w:rPr>
      </w:pPr>
      <w:bookmarkStart w:id="18" w:name="_Toc15424"/>
      <w:bookmarkStart w:id="19" w:name="_Toc15377200"/>
      <w:bookmarkStart w:id="20" w:name="_Toc15396601"/>
      <w:r>
        <w:rPr>
          <w:rFonts w:hint="eastAsia" w:ascii="黑体" w:hAnsi="黑体" w:eastAsia="黑体"/>
          <w:b w:val="0"/>
          <w:color w:val="auto"/>
          <w:highlight w:val="none"/>
        </w:rPr>
        <w:t>机</w:t>
      </w:r>
      <w:r>
        <w:rPr>
          <w:rStyle w:val="24"/>
          <w:rFonts w:hint="eastAsia" w:ascii="黑体" w:hAnsi="黑体" w:eastAsia="黑体"/>
          <w:b w:val="0"/>
          <w:bCs w:val="0"/>
          <w:color w:val="auto"/>
          <w:highlight w:val="none"/>
        </w:rPr>
        <w:t>构设置</w:t>
      </w:r>
      <w:bookmarkEnd w:id="18"/>
      <w:bookmarkEnd w:id="19"/>
      <w:bookmarkEnd w:id="20"/>
    </w:p>
    <w:p>
      <w:pPr>
        <w:pStyle w:val="4"/>
        <w:numPr>
          <w:ilvl w:val="0"/>
          <w:numId w:val="0"/>
        </w:numPr>
        <w:ind w:leftChars="0" w:firstLine="640" w:firstLineChars="200"/>
        <w:rPr>
          <w:rFonts w:hint="eastAsia" w:ascii="仿宋_GB2312" w:hAnsi="仿宋_GB2312" w:eastAsia="仿宋_GB2312" w:cs="仿宋_GB2312"/>
          <w:b w:val="0"/>
          <w:bCs w:val="0"/>
          <w:kern w:val="2"/>
          <w:sz w:val="32"/>
          <w:szCs w:val="32"/>
          <w:lang w:val="en-US" w:eastAsia="zh-CN" w:bidi="ar-SA"/>
        </w:rPr>
      </w:pPr>
      <w:bookmarkStart w:id="21" w:name="_Toc25794"/>
      <w:r>
        <w:rPr>
          <w:rFonts w:hint="eastAsia" w:ascii="仿宋_GB2312" w:hAnsi="仿宋_GB2312" w:eastAsia="仿宋_GB2312" w:cs="仿宋_GB2312"/>
          <w:b w:val="0"/>
          <w:bCs w:val="0"/>
          <w:kern w:val="2"/>
          <w:sz w:val="32"/>
          <w:szCs w:val="32"/>
          <w:lang w:val="en-US" w:eastAsia="zh-CN" w:bidi="ar-SA"/>
        </w:rPr>
        <w:t>中国民主建国会广元市委员会是纳入市委统战部2022年单位预算编制范围的二级预算单位。</w:t>
      </w:r>
      <w:bookmarkEnd w:id="21"/>
    </w:p>
    <w:p>
      <w:pPr>
        <w:pStyle w:val="3"/>
        <w:ind w:right="440"/>
        <w:jc w:val="center"/>
        <w:rPr>
          <w:rStyle w:val="23"/>
          <w:rFonts w:ascii="黑体" w:hAnsi="黑体" w:eastAsia="黑体"/>
          <w:b w:val="0"/>
          <w:bCs/>
          <w:color w:val="auto"/>
          <w:highlight w:val="none"/>
        </w:rPr>
      </w:pPr>
      <w:bookmarkStart w:id="22" w:name="_Toc26604"/>
      <w:bookmarkStart w:id="23" w:name="_Toc15396602"/>
      <w:bookmarkStart w:id="24"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2022年度单位</w:t>
      </w:r>
      <w:r>
        <w:rPr>
          <w:rStyle w:val="23"/>
          <w:rFonts w:hint="eastAsia" w:ascii="黑体" w:hAnsi="黑体" w:eastAsia="黑体"/>
          <w:b w:val="0"/>
          <w:bCs/>
          <w:color w:val="auto"/>
          <w:highlight w:val="none"/>
        </w:rPr>
        <w:t>决算情况说明</w:t>
      </w:r>
      <w:bookmarkEnd w:id="22"/>
      <w:bookmarkEnd w:id="23"/>
      <w:bookmarkEnd w:id="24"/>
    </w:p>
    <w:p>
      <w:pPr>
        <w:pStyle w:val="34"/>
        <w:numPr>
          <w:ilvl w:val="0"/>
          <w:numId w:val="2"/>
        </w:numPr>
        <w:spacing w:line="600" w:lineRule="exact"/>
        <w:ind w:firstLineChars="0"/>
        <w:outlineLvl w:val="1"/>
        <w:rPr>
          <w:rStyle w:val="24"/>
          <w:rFonts w:ascii="黑体" w:hAnsi="黑体" w:eastAsia="黑体"/>
          <w:b w:val="0"/>
          <w:color w:val="auto"/>
          <w:highlight w:val="none"/>
        </w:rPr>
      </w:pPr>
      <w:bookmarkStart w:id="25" w:name="_Toc972"/>
      <w:bookmarkStart w:id="26" w:name="_Toc15396603"/>
      <w:bookmarkStart w:id="27" w:name="_Toc15377205"/>
      <w:r>
        <w:rPr>
          <w:rFonts w:hint="eastAsia" w:ascii="黑体" w:hAnsi="黑体" w:eastAsia="黑体"/>
          <w:color w:val="auto"/>
          <w:sz w:val="32"/>
          <w:szCs w:val="32"/>
          <w:highlight w:val="none"/>
        </w:rPr>
        <w:t>收</w:t>
      </w:r>
      <w:r>
        <w:rPr>
          <w:rStyle w:val="24"/>
          <w:rFonts w:hint="eastAsia" w:ascii="黑体" w:hAnsi="黑体" w:eastAsia="黑体"/>
          <w:b w:val="0"/>
          <w:color w:val="auto"/>
          <w:highlight w:val="none"/>
        </w:rPr>
        <w:t>入支出决算总体情况说明</w:t>
      </w:r>
      <w:bookmarkEnd w:id="25"/>
      <w:bookmarkEnd w:id="26"/>
      <w:bookmarkEnd w:id="27"/>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72.61</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0.46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0.63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人员调资。</w:t>
      </w:r>
    </w:p>
    <w:p>
      <w:pPr>
        <w:spacing w:line="600" w:lineRule="exact"/>
        <w:ind w:firstLine="1280" w:firstLineChars="400"/>
        <w:rPr>
          <w:rFonts w:ascii="仿宋_GB2312" w:eastAsia="仿宋_GB2312"/>
          <w:color w:val="auto"/>
          <w:sz w:val="32"/>
          <w:szCs w:val="32"/>
          <w:highlight w:val="none"/>
        </w:rPr>
      </w:pPr>
      <w:r>
        <w:rPr>
          <w:rFonts w:hint="eastAsia" w:ascii="仿宋" w:hAnsi="仿宋" w:eastAsia="仿宋" w:cs="仿宋"/>
          <w:color w:val="000000"/>
          <w:sz w:val="32"/>
          <w:szCs w:val="32"/>
          <w:lang w:val="en-US" w:eastAsia="zh-CN"/>
        </w:rPr>
        <w:drawing>
          <wp:anchor distT="0" distB="0" distL="114300" distR="114300" simplePos="0" relativeHeight="251659264" behindDoc="0" locked="0" layoutInCell="1" allowOverlap="1">
            <wp:simplePos x="0" y="0"/>
            <wp:positionH relativeFrom="column">
              <wp:posOffset>33655</wp:posOffset>
            </wp:positionH>
            <wp:positionV relativeFrom="paragraph">
              <wp:posOffset>194945</wp:posOffset>
            </wp:positionV>
            <wp:extent cx="5193665" cy="2658745"/>
            <wp:effectExtent l="4445" t="4445" r="21590" b="2286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34"/>
        <w:numPr>
          <w:ilvl w:val="0"/>
          <w:numId w:val="2"/>
        </w:numPr>
        <w:spacing w:line="600" w:lineRule="exact"/>
        <w:ind w:firstLineChars="0"/>
        <w:outlineLvl w:val="1"/>
        <w:rPr>
          <w:rStyle w:val="24"/>
          <w:rFonts w:ascii="黑体" w:hAnsi="黑体" w:eastAsia="黑体"/>
          <w:b w:val="0"/>
          <w:color w:val="auto"/>
          <w:highlight w:val="none"/>
        </w:rPr>
      </w:pPr>
      <w:bookmarkStart w:id="28" w:name="_Toc11710"/>
      <w:bookmarkStart w:id="29" w:name="_Toc15377206"/>
      <w:bookmarkStart w:id="30" w:name="_Toc15396604"/>
      <w:r>
        <w:rPr>
          <w:rFonts w:hint="eastAsia" w:ascii="黑体" w:hAnsi="黑体" w:eastAsia="黑体"/>
          <w:color w:val="auto"/>
          <w:sz w:val="32"/>
          <w:szCs w:val="32"/>
          <w:highlight w:val="none"/>
        </w:rPr>
        <w:t>收</w:t>
      </w:r>
      <w:r>
        <w:rPr>
          <w:rStyle w:val="24"/>
          <w:rFonts w:hint="eastAsia" w:ascii="黑体" w:hAnsi="黑体" w:eastAsia="黑体"/>
          <w:b w:val="0"/>
          <w:color w:val="auto"/>
          <w:highlight w:val="none"/>
        </w:rPr>
        <w:t>入决算情况说明</w:t>
      </w:r>
      <w:bookmarkEnd w:id="28"/>
      <w:bookmarkEnd w:id="29"/>
      <w:bookmarkEnd w:id="30"/>
    </w:p>
    <w:p>
      <w:pPr>
        <w:spacing w:line="600" w:lineRule="exact"/>
        <w:ind w:firstLine="640" w:firstLineChars="200"/>
        <w:outlineLvl w:val="1"/>
        <w:rPr>
          <w:rFonts w:ascii="仿宋" w:hAnsi="仿宋" w:eastAsia="仿宋"/>
          <w:color w:val="auto"/>
          <w:sz w:val="32"/>
          <w:szCs w:val="32"/>
          <w:highlight w:val="none"/>
        </w:rPr>
      </w:pPr>
      <w:bookmarkStart w:id="31" w:name="_Toc11814"/>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71.75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71.75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1"/>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s="仿宋"/>
          <w:color w:val="000000"/>
          <w:sz w:val="32"/>
          <w:szCs w:val="32"/>
          <w:lang w:eastAsia="zh-CN"/>
        </w:rPr>
        <w:drawing>
          <wp:anchor distT="0" distB="0" distL="114300" distR="114300" simplePos="0" relativeHeight="251660288" behindDoc="0" locked="0" layoutInCell="1" allowOverlap="1">
            <wp:simplePos x="0" y="0"/>
            <wp:positionH relativeFrom="column">
              <wp:posOffset>89535</wp:posOffset>
            </wp:positionH>
            <wp:positionV relativeFrom="paragraph">
              <wp:posOffset>456565</wp:posOffset>
            </wp:positionV>
            <wp:extent cx="5031740" cy="2080895"/>
            <wp:effectExtent l="4445" t="4445" r="12065" b="1016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34"/>
        <w:numPr>
          <w:ilvl w:val="0"/>
          <w:numId w:val="0"/>
        </w:numPr>
        <w:spacing w:line="600" w:lineRule="exact"/>
        <w:ind w:left="640" w:leftChars="0" w:firstLine="960" w:firstLineChars="300"/>
        <w:outlineLvl w:val="1"/>
        <w:rPr>
          <w:rStyle w:val="24"/>
          <w:rFonts w:ascii="黑体" w:hAnsi="黑体" w:eastAsia="黑体"/>
          <w:b w:val="0"/>
          <w:color w:val="auto"/>
          <w:highlight w:val="none"/>
        </w:rPr>
      </w:pPr>
      <w:bookmarkStart w:id="32" w:name="_Toc3429"/>
      <w:r>
        <w:rPr>
          <w:rFonts w:hint="eastAsia" w:ascii="仿宋" w:hAnsi="仿宋" w:eastAsia="仿宋"/>
          <w:color w:val="auto"/>
          <w:sz w:val="32"/>
          <w:szCs w:val="32"/>
          <w:highlight w:val="none"/>
        </w:rPr>
        <w:t>（图2：收入决算结构图）</w:t>
      </w:r>
      <w:bookmarkEnd w:id="32"/>
      <w:bookmarkStart w:id="33" w:name="_Toc15377207"/>
      <w:bookmarkStart w:id="34" w:name="_Toc15396605"/>
    </w:p>
    <w:p>
      <w:pPr>
        <w:pStyle w:val="34"/>
        <w:numPr>
          <w:ilvl w:val="0"/>
          <w:numId w:val="2"/>
        </w:numPr>
        <w:spacing w:line="600" w:lineRule="exact"/>
        <w:ind w:firstLineChars="0"/>
        <w:outlineLvl w:val="1"/>
        <w:rPr>
          <w:rStyle w:val="24"/>
          <w:rFonts w:ascii="黑体" w:hAnsi="黑体" w:eastAsia="黑体"/>
          <w:b w:val="0"/>
          <w:color w:val="auto"/>
          <w:highlight w:val="none"/>
        </w:rPr>
      </w:pPr>
      <w:bookmarkStart w:id="35" w:name="_Toc31918"/>
      <w:r>
        <w:rPr>
          <w:rFonts w:hint="eastAsia" w:ascii="黑体" w:hAnsi="黑体" w:eastAsia="黑体"/>
          <w:color w:val="auto"/>
          <w:sz w:val="32"/>
          <w:szCs w:val="32"/>
          <w:highlight w:val="none"/>
        </w:rPr>
        <w:t>支</w:t>
      </w:r>
      <w:r>
        <w:rPr>
          <w:rStyle w:val="24"/>
          <w:rFonts w:hint="eastAsia" w:ascii="黑体" w:hAnsi="黑体" w:eastAsia="黑体"/>
          <w:b w:val="0"/>
          <w:color w:val="auto"/>
          <w:highlight w:val="none"/>
        </w:rPr>
        <w:t>出决算情况说明</w:t>
      </w:r>
      <w:bookmarkEnd w:id="33"/>
      <w:bookmarkEnd w:id="34"/>
      <w:bookmarkEnd w:id="35"/>
    </w:p>
    <w:p>
      <w:pPr>
        <w:spacing w:line="600" w:lineRule="exact"/>
        <w:ind w:firstLine="640" w:firstLineChars="200"/>
        <w:outlineLvl w:val="1"/>
        <w:rPr>
          <w:rFonts w:ascii="仿宋" w:hAnsi="仿宋" w:eastAsia="仿宋"/>
          <w:color w:val="auto"/>
          <w:sz w:val="32"/>
          <w:szCs w:val="32"/>
          <w:highlight w:val="none"/>
        </w:rPr>
      </w:pPr>
      <w:bookmarkStart w:id="36" w:name="_Toc1547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72.61</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52.4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72.17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20.21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27.83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6"/>
    </w:p>
    <w:p>
      <w:pPr>
        <w:spacing w:line="600" w:lineRule="exact"/>
        <w:ind w:firstLine="640"/>
        <w:rPr>
          <w:rFonts w:ascii="仿宋" w:hAnsi="仿宋" w:eastAsia="仿宋"/>
          <w:color w:val="auto"/>
          <w:sz w:val="32"/>
          <w:szCs w:val="32"/>
          <w:highlight w:val="none"/>
          <w:shd w:val="pct10" w:color="auto" w:fill="FFFFFF"/>
        </w:rPr>
      </w:pPr>
    </w:p>
    <w:p>
      <w:pPr>
        <w:pStyle w:val="7"/>
        <w:jc w:val="center"/>
        <w:rPr>
          <w:rFonts w:ascii="仿宋_GB2312" w:eastAsia="仿宋_GB2312"/>
          <w:color w:val="auto"/>
          <w:sz w:val="32"/>
          <w:szCs w:val="32"/>
          <w:highlight w:val="none"/>
        </w:rPr>
      </w:pPr>
      <w:r>
        <w:rPr>
          <w:rFonts w:hint="eastAsia" w:ascii="仿宋" w:hAnsi="仿宋" w:eastAsia="仿宋" w:cs="仿宋"/>
          <w:b/>
          <w:bCs/>
          <w:sz w:val="32"/>
          <w:szCs w:val="32"/>
          <w:lang w:eastAsia="zh-CN"/>
        </w:rPr>
        <w:drawing>
          <wp:anchor distT="0" distB="0" distL="114300" distR="114300" simplePos="0" relativeHeight="251661312" behindDoc="0" locked="0" layoutInCell="1" allowOverlap="1">
            <wp:simplePos x="0" y="0"/>
            <wp:positionH relativeFrom="column">
              <wp:posOffset>23495</wp:posOffset>
            </wp:positionH>
            <wp:positionV relativeFrom="paragraph">
              <wp:posOffset>51435</wp:posOffset>
            </wp:positionV>
            <wp:extent cx="5045075" cy="2556510"/>
            <wp:effectExtent l="4445" t="4445" r="17780" b="10795"/>
            <wp:wrapTopAndBottom/>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24"/>
          <w:rFonts w:ascii="黑体" w:hAnsi="黑体" w:eastAsia="黑体"/>
          <w:b w:val="0"/>
          <w:color w:val="auto"/>
          <w:highlight w:val="none"/>
        </w:rPr>
      </w:pPr>
      <w:bookmarkStart w:id="37" w:name="_Toc15396606"/>
      <w:bookmarkStart w:id="38" w:name="_Toc30262"/>
      <w:bookmarkStart w:id="39" w:name="_Toc15377208"/>
      <w:r>
        <w:rPr>
          <w:rFonts w:hint="eastAsia" w:ascii="黑体" w:hAnsi="黑体" w:eastAsia="黑体"/>
          <w:color w:val="auto"/>
          <w:sz w:val="32"/>
          <w:szCs w:val="32"/>
          <w:highlight w:val="none"/>
        </w:rPr>
        <w:t>四、财</w:t>
      </w:r>
      <w:r>
        <w:rPr>
          <w:rStyle w:val="24"/>
          <w:rFonts w:hint="eastAsia" w:ascii="黑体" w:hAnsi="黑体" w:eastAsia="黑体"/>
          <w:b w:val="0"/>
          <w:color w:val="auto"/>
          <w:highlight w:val="none"/>
        </w:rPr>
        <w:t>政拨款收入支出决算总体情况说明</w:t>
      </w:r>
      <w:bookmarkEnd w:id="37"/>
      <w:bookmarkEnd w:id="38"/>
      <w:bookmarkEnd w:id="39"/>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72.61</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0.46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0.63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人员调资。</w:t>
      </w:r>
    </w:p>
    <w:p>
      <w:pPr>
        <w:spacing w:line="600" w:lineRule="exact"/>
        <w:rPr>
          <w:rFonts w:ascii="仿宋" w:hAnsi="仿宋" w:eastAsia="仿宋"/>
          <w:color w:val="auto"/>
          <w:sz w:val="32"/>
          <w:szCs w:val="32"/>
          <w:highlight w:val="none"/>
        </w:rPr>
      </w:pPr>
      <w:r>
        <w:rPr>
          <w:rFonts w:hint="eastAsia" w:ascii="仿宋" w:hAnsi="仿宋" w:eastAsia="仿宋" w:cs="仿宋"/>
          <w:color w:val="000000"/>
          <w:sz w:val="32"/>
          <w:szCs w:val="32"/>
          <w:lang w:val="en-US" w:eastAsia="zh-CN"/>
        </w:rPr>
        <w:drawing>
          <wp:anchor distT="0" distB="0" distL="114300" distR="114300" simplePos="0" relativeHeight="251662336" behindDoc="0" locked="0" layoutInCell="1" allowOverlap="1">
            <wp:simplePos x="0" y="0"/>
            <wp:positionH relativeFrom="column">
              <wp:posOffset>-19685</wp:posOffset>
            </wp:positionH>
            <wp:positionV relativeFrom="paragraph">
              <wp:posOffset>46990</wp:posOffset>
            </wp:positionV>
            <wp:extent cx="5099685" cy="2202815"/>
            <wp:effectExtent l="4445" t="4445" r="20320" b="2159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7"/>
        <w:rPr>
          <w:rFonts w:ascii="仿宋" w:hAnsi="仿宋" w:eastAsia="仿宋"/>
          <w:color w:val="auto"/>
          <w:sz w:val="32"/>
          <w:szCs w:val="32"/>
          <w:highlight w:val="none"/>
        </w:rPr>
      </w:pPr>
    </w:p>
    <w:p>
      <w:pPr>
        <w:pStyle w:val="7"/>
        <w:rPr>
          <w:rFonts w:ascii="仿宋" w:hAnsi="仿宋" w:eastAsia="仿宋"/>
          <w:color w:val="auto"/>
          <w:sz w:val="32"/>
          <w:szCs w:val="32"/>
          <w:highlight w:val="none"/>
        </w:rPr>
      </w:pPr>
    </w:p>
    <w:p>
      <w:pPr>
        <w:pStyle w:val="7"/>
        <w:rPr>
          <w:rFonts w:ascii="仿宋" w:hAnsi="仿宋" w:eastAsia="仿宋"/>
          <w:color w:val="auto"/>
          <w:sz w:val="32"/>
          <w:szCs w:val="32"/>
          <w:highlight w:val="none"/>
        </w:rPr>
      </w:pPr>
    </w:p>
    <w:p>
      <w:pPr>
        <w:pStyle w:val="7"/>
        <w:rPr>
          <w:rFonts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firstLineChars="200"/>
        <w:outlineLvl w:val="1"/>
        <w:rPr>
          <w:rStyle w:val="24"/>
          <w:rFonts w:ascii="黑体" w:hAnsi="黑体" w:eastAsia="黑体"/>
          <w:b w:val="0"/>
          <w:color w:val="auto"/>
          <w:highlight w:val="none"/>
        </w:rPr>
      </w:pPr>
      <w:bookmarkStart w:id="40" w:name="_Toc15396607"/>
      <w:bookmarkStart w:id="41" w:name="_Toc14314"/>
      <w:bookmarkStart w:id="42"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4"/>
          <w:rFonts w:hint="eastAsia" w:ascii="黑体" w:hAnsi="黑体" w:eastAsia="黑体"/>
          <w:b w:val="0"/>
          <w:color w:val="auto"/>
          <w:highlight w:val="none"/>
        </w:rPr>
        <w:t>般公共预算财政拨款支出决算情况说明</w:t>
      </w:r>
      <w:bookmarkEnd w:id="40"/>
      <w:bookmarkEnd w:id="41"/>
      <w:bookmarkEnd w:id="42"/>
    </w:p>
    <w:p>
      <w:pPr>
        <w:spacing w:line="600" w:lineRule="exact"/>
        <w:ind w:firstLine="642" w:firstLineChars="200"/>
        <w:outlineLvl w:val="2"/>
        <w:rPr>
          <w:rFonts w:ascii="仿宋" w:hAnsi="仿宋" w:eastAsia="仿宋"/>
          <w:b/>
          <w:color w:val="auto"/>
          <w:sz w:val="32"/>
          <w:szCs w:val="32"/>
          <w:highlight w:val="none"/>
        </w:rPr>
      </w:pPr>
      <w:bookmarkStart w:id="43" w:name="_Toc15377210"/>
      <w:r>
        <w:rPr>
          <w:rFonts w:hint="eastAsia" w:ascii="仿宋" w:hAnsi="仿宋" w:eastAsia="仿宋"/>
          <w:b/>
          <w:color w:val="auto"/>
          <w:sz w:val="32"/>
          <w:szCs w:val="32"/>
          <w:highlight w:val="none"/>
        </w:rPr>
        <w:t>（一）一般公共预算财政拨款支出决算总体情况</w:t>
      </w:r>
      <w:bookmarkEnd w:id="43"/>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72.61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1.36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1.91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人员调资和上年项目结转本年进行支付。</w:t>
      </w:r>
    </w:p>
    <w:p>
      <w:pPr>
        <w:pStyle w:val="7"/>
        <w:rPr>
          <w:rFonts w:ascii="仿宋" w:hAnsi="仿宋" w:eastAsia="仿宋"/>
          <w:color w:val="auto"/>
          <w:sz w:val="32"/>
          <w:szCs w:val="32"/>
          <w:highlight w:val="none"/>
        </w:rPr>
      </w:pPr>
      <w:r>
        <w:rPr>
          <w:rFonts w:hint="eastAsia" w:ascii="仿宋" w:hAnsi="仿宋" w:eastAsia="仿宋" w:cs="仿宋"/>
          <w:color w:val="000000"/>
          <w:sz w:val="32"/>
          <w:szCs w:val="32"/>
          <w:lang w:eastAsia="zh-CN"/>
        </w:rPr>
        <w:drawing>
          <wp:anchor distT="0" distB="0" distL="114300" distR="114300" simplePos="0" relativeHeight="251663360" behindDoc="0" locked="0" layoutInCell="1" allowOverlap="1">
            <wp:simplePos x="0" y="0"/>
            <wp:positionH relativeFrom="column">
              <wp:posOffset>252095</wp:posOffset>
            </wp:positionH>
            <wp:positionV relativeFrom="paragraph">
              <wp:posOffset>99060</wp:posOffset>
            </wp:positionV>
            <wp:extent cx="4947920" cy="2441575"/>
            <wp:effectExtent l="4445" t="4445" r="19685" b="11430"/>
            <wp:wrapTopAndBottom/>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ascii="仿宋" w:hAnsi="仿宋" w:eastAsia="仿宋"/>
          <w:b/>
          <w:color w:val="auto"/>
          <w:sz w:val="32"/>
          <w:szCs w:val="32"/>
          <w:highlight w:val="none"/>
        </w:rPr>
      </w:pPr>
      <w:bookmarkStart w:id="44" w:name="_Toc15377211"/>
      <w:r>
        <w:rPr>
          <w:rFonts w:hint="eastAsia" w:ascii="仿宋" w:hAnsi="仿宋" w:eastAsia="仿宋"/>
          <w:b/>
          <w:color w:val="auto"/>
          <w:sz w:val="32"/>
          <w:szCs w:val="32"/>
          <w:highlight w:val="none"/>
        </w:rPr>
        <w:t>（二）一般公共预算财政拨款支出决算结构情况</w:t>
      </w:r>
      <w:bookmarkEnd w:id="44"/>
    </w:p>
    <w:p>
      <w:pPr>
        <w:spacing w:line="600" w:lineRule="exact"/>
        <w:ind w:firstLine="640"/>
        <w:rPr>
          <w:rFonts w:hint="eastAsia" w:ascii="仿宋" w:hAnsi="仿宋" w:eastAsia="仿宋"/>
          <w:color w:val="auto"/>
          <w:sz w:val="32"/>
          <w:szCs w:val="32"/>
          <w:highlight w:val="none"/>
        </w:rPr>
      </w:pPr>
      <w:r>
        <w:rPr>
          <w:rFonts w:hint="eastAsia" w:ascii="仿宋" w:hAnsi="仿宋" w:eastAsia="仿宋" w:cs="仿宋"/>
          <w:b/>
          <w:color w:val="000000" w:themeColor="text1"/>
          <w:sz w:val="32"/>
          <w:szCs w:val="32"/>
          <w:lang w:eastAsia="zh-CN"/>
          <w14:textFill>
            <w14:solidFill>
              <w14:schemeClr w14:val="tx1"/>
            </w14:solidFill>
          </w14:textFill>
        </w:rPr>
        <w:drawing>
          <wp:anchor distT="0" distB="0" distL="114300" distR="114300" simplePos="0" relativeHeight="251664384" behindDoc="0" locked="0" layoutInCell="1" allowOverlap="1">
            <wp:simplePos x="0" y="0"/>
            <wp:positionH relativeFrom="column">
              <wp:posOffset>-92075</wp:posOffset>
            </wp:positionH>
            <wp:positionV relativeFrom="paragraph">
              <wp:posOffset>1746250</wp:posOffset>
            </wp:positionV>
            <wp:extent cx="5013960" cy="2602865"/>
            <wp:effectExtent l="4445" t="4445" r="10795" b="2159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72.61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68.64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94.53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1.88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2.59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0.68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0.94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1.41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1.94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2" w:firstLineChars="200"/>
        <w:outlineLvl w:val="2"/>
        <w:rPr>
          <w:rFonts w:ascii="仿宋" w:hAnsi="仿宋" w:eastAsia="仿宋"/>
          <w:b/>
          <w:color w:val="auto"/>
          <w:sz w:val="32"/>
          <w:szCs w:val="32"/>
          <w:highlight w:val="none"/>
        </w:rPr>
      </w:pPr>
      <w:bookmarkStart w:id="45" w:name="_Toc15377212"/>
      <w:r>
        <w:rPr>
          <w:rFonts w:hint="eastAsia" w:ascii="仿宋" w:hAnsi="仿宋" w:eastAsia="仿宋"/>
          <w:b/>
          <w:color w:val="auto"/>
          <w:sz w:val="32"/>
          <w:szCs w:val="32"/>
          <w:highlight w:val="none"/>
        </w:rPr>
        <w:t>（三）一般公共预算财政拨款支出决算具体情况</w:t>
      </w:r>
      <w:bookmarkEnd w:id="45"/>
    </w:p>
    <w:p>
      <w:pPr>
        <w:spacing w:line="600" w:lineRule="exact"/>
        <w:ind w:firstLine="642" w:firstLineChars="200"/>
        <w:outlineLvl w:val="1"/>
        <w:rPr>
          <w:rFonts w:ascii="仿宋" w:hAnsi="仿宋" w:eastAsia="仿宋"/>
          <w:color w:val="auto"/>
          <w:sz w:val="32"/>
          <w:szCs w:val="32"/>
          <w:highlight w:val="none"/>
        </w:rPr>
      </w:pPr>
      <w:bookmarkStart w:id="46" w:name="_Toc22340"/>
      <w:bookmarkStart w:id="47" w:name="_Toc15378460"/>
      <w:bookmarkStart w:id="48" w:name="_Toc15377213"/>
      <w:bookmarkStart w:id="49"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72.61</w:t>
      </w:r>
      <w:r>
        <w:rPr>
          <w:rFonts w:hint="eastAsia" w:ascii="仿宋" w:hAnsi="仿宋" w:eastAsia="仿宋"/>
          <w:color w:val="auto"/>
          <w:sz w:val="32"/>
          <w:szCs w:val="32"/>
          <w:highlight w:val="none"/>
        </w:rPr>
        <w:t>，</w:t>
      </w:r>
      <w:r>
        <w:rPr>
          <w:rStyle w:val="21"/>
          <w:rFonts w:hint="eastAsia" w:ascii="仿宋" w:hAnsi="仿宋" w:eastAsia="仿宋"/>
          <w:bCs/>
          <w:color w:val="auto"/>
          <w:sz w:val="32"/>
          <w:szCs w:val="32"/>
          <w:highlight w:val="none"/>
        </w:rPr>
        <w:t>完成预算</w:t>
      </w:r>
      <w:r>
        <w:rPr>
          <w:rStyle w:val="21"/>
          <w:rFonts w:hint="eastAsia" w:ascii="仿宋" w:hAnsi="仿宋" w:eastAsia="仿宋"/>
          <w:bCs/>
          <w:color w:val="auto"/>
          <w:sz w:val="32"/>
          <w:szCs w:val="32"/>
          <w:highlight w:val="none"/>
          <w:lang w:val="en-US" w:eastAsia="zh-CN"/>
        </w:rPr>
        <w:t>100</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rPr>
        <w:t>。其中：</w:t>
      </w:r>
      <w:bookmarkEnd w:id="46"/>
      <w:bookmarkEnd w:id="47"/>
      <w:bookmarkEnd w:id="48"/>
      <w:bookmarkEnd w:id="49"/>
    </w:p>
    <w:p>
      <w:pPr>
        <w:spacing w:line="600" w:lineRule="exact"/>
        <w:ind w:firstLine="642"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1.</w:t>
      </w:r>
      <w:r>
        <w:rPr>
          <w:rStyle w:val="21"/>
          <w:rFonts w:hint="eastAsia" w:ascii="仿宋" w:hAnsi="仿宋" w:eastAsia="仿宋"/>
          <w:bCs/>
          <w:color w:val="auto"/>
          <w:sz w:val="32"/>
          <w:szCs w:val="32"/>
          <w:highlight w:val="none"/>
        </w:rPr>
        <w:t>一般公共服务（类）</w:t>
      </w:r>
      <w:r>
        <w:rPr>
          <w:rStyle w:val="21"/>
          <w:rFonts w:hint="eastAsia" w:ascii="仿宋" w:hAnsi="仿宋" w:eastAsia="仿宋"/>
          <w:bCs/>
          <w:color w:val="auto"/>
          <w:sz w:val="32"/>
          <w:szCs w:val="32"/>
          <w:highlight w:val="none"/>
          <w:lang w:eastAsia="zh-CN"/>
        </w:rPr>
        <w:t>民主党派及工商联事务</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行政运行</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48.42</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w:t>
      </w:r>
      <w:r>
        <w:rPr>
          <w:rStyle w:val="21"/>
          <w:rFonts w:hint="eastAsia" w:ascii="仿宋" w:hAnsi="仿宋" w:eastAsia="仿宋"/>
          <w:b w:val="0"/>
          <w:bCs/>
          <w:color w:val="auto"/>
          <w:sz w:val="32"/>
          <w:szCs w:val="32"/>
          <w:highlight w:val="none"/>
          <w:lang w:eastAsia="zh-CN"/>
        </w:rPr>
        <w:t>与</w:t>
      </w:r>
      <w:r>
        <w:rPr>
          <w:rStyle w:val="21"/>
          <w:rFonts w:hint="eastAsia" w:ascii="仿宋" w:hAnsi="仿宋" w:eastAsia="仿宋"/>
          <w:b w:val="0"/>
          <w:bCs/>
          <w:color w:val="auto"/>
          <w:sz w:val="32"/>
          <w:szCs w:val="32"/>
          <w:highlight w:val="none"/>
        </w:rPr>
        <w:t>预算数</w:t>
      </w:r>
      <w:r>
        <w:rPr>
          <w:rStyle w:val="21"/>
          <w:rFonts w:hint="eastAsia" w:ascii="仿宋" w:hAnsi="仿宋" w:eastAsia="仿宋"/>
          <w:b w:val="0"/>
          <w:bCs/>
          <w:color w:val="auto"/>
          <w:sz w:val="32"/>
          <w:szCs w:val="32"/>
          <w:highlight w:val="none"/>
          <w:lang w:eastAsia="zh-CN"/>
        </w:rPr>
        <w:t>持平</w:t>
      </w:r>
      <w:r>
        <w:rPr>
          <w:rStyle w:val="21"/>
          <w:rFonts w:hint="eastAsia" w:ascii="仿宋" w:hAnsi="仿宋" w:eastAsia="仿宋"/>
          <w:b w:val="0"/>
          <w:bCs/>
          <w:color w:val="auto"/>
          <w:sz w:val="32"/>
          <w:szCs w:val="32"/>
          <w:highlight w:val="none"/>
        </w:rPr>
        <w:t>。</w:t>
      </w:r>
    </w:p>
    <w:p>
      <w:pPr>
        <w:spacing w:line="600" w:lineRule="exact"/>
        <w:ind w:firstLine="642" w:firstLineChars="200"/>
        <w:rPr>
          <w:rStyle w:val="21"/>
          <w:rFonts w:hint="eastAsia" w:ascii="仿宋" w:hAnsi="仿宋" w:eastAsia="仿宋"/>
          <w:b w:val="0"/>
          <w:bCs/>
          <w:color w:val="auto"/>
          <w:sz w:val="32"/>
          <w:szCs w:val="32"/>
          <w:highlight w:val="none"/>
        </w:rPr>
      </w:pPr>
      <w:r>
        <w:rPr>
          <w:rStyle w:val="21"/>
          <w:rFonts w:ascii="仿宋" w:hAnsi="仿宋" w:eastAsia="仿宋"/>
          <w:bCs/>
          <w:color w:val="auto"/>
          <w:sz w:val="32"/>
          <w:szCs w:val="32"/>
          <w:highlight w:val="none"/>
        </w:rPr>
        <w:t>2.</w:t>
      </w:r>
      <w:r>
        <w:rPr>
          <w:rStyle w:val="21"/>
          <w:rFonts w:hint="eastAsia" w:ascii="仿宋" w:hAnsi="仿宋" w:eastAsia="仿宋"/>
          <w:bCs/>
          <w:color w:val="auto"/>
          <w:sz w:val="32"/>
          <w:szCs w:val="32"/>
          <w:highlight w:val="none"/>
        </w:rPr>
        <w:t>一般公共服务（类）</w:t>
      </w:r>
      <w:r>
        <w:rPr>
          <w:rStyle w:val="21"/>
          <w:rFonts w:hint="eastAsia" w:ascii="仿宋" w:hAnsi="仿宋" w:eastAsia="仿宋"/>
          <w:bCs/>
          <w:color w:val="auto"/>
          <w:sz w:val="32"/>
          <w:szCs w:val="32"/>
          <w:highlight w:val="none"/>
          <w:lang w:eastAsia="zh-CN"/>
        </w:rPr>
        <w:t>民主党派及工商联事务</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一般行政管理事务</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20.21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w:t>
      </w:r>
      <w:r>
        <w:rPr>
          <w:rStyle w:val="21"/>
          <w:rFonts w:hint="eastAsia" w:ascii="仿宋" w:hAnsi="仿宋" w:eastAsia="仿宋"/>
          <w:b w:val="0"/>
          <w:bCs/>
          <w:color w:val="auto"/>
          <w:sz w:val="32"/>
          <w:szCs w:val="32"/>
          <w:highlight w:val="none"/>
          <w:lang w:eastAsia="zh-CN"/>
        </w:rPr>
        <w:t>与</w:t>
      </w:r>
      <w:r>
        <w:rPr>
          <w:rStyle w:val="21"/>
          <w:rFonts w:hint="eastAsia" w:ascii="仿宋" w:hAnsi="仿宋" w:eastAsia="仿宋"/>
          <w:b w:val="0"/>
          <w:bCs/>
          <w:color w:val="auto"/>
          <w:sz w:val="32"/>
          <w:szCs w:val="32"/>
          <w:highlight w:val="none"/>
        </w:rPr>
        <w:t>预算数</w:t>
      </w:r>
      <w:r>
        <w:rPr>
          <w:rStyle w:val="21"/>
          <w:rFonts w:hint="eastAsia" w:ascii="仿宋" w:hAnsi="仿宋" w:eastAsia="仿宋"/>
          <w:b w:val="0"/>
          <w:bCs/>
          <w:color w:val="auto"/>
          <w:sz w:val="32"/>
          <w:szCs w:val="32"/>
          <w:highlight w:val="none"/>
          <w:lang w:eastAsia="zh-CN"/>
        </w:rPr>
        <w:t>持平</w:t>
      </w:r>
      <w:r>
        <w:rPr>
          <w:rStyle w:val="21"/>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3.</w:t>
      </w:r>
      <w:r>
        <w:rPr>
          <w:rStyle w:val="21"/>
          <w:rFonts w:hint="eastAsia" w:ascii="仿宋" w:hAnsi="仿宋" w:eastAsia="仿宋"/>
          <w:bCs/>
          <w:color w:val="auto"/>
          <w:sz w:val="32"/>
          <w:szCs w:val="32"/>
          <w:highlight w:val="none"/>
        </w:rPr>
        <w:t>社会保障和就业（类）</w:t>
      </w:r>
      <w:r>
        <w:rPr>
          <w:rStyle w:val="21"/>
          <w:rFonts w:hint="eastAsia" w:ascii="仿宋" w:hAnsi="仿宋" w:eastAsia="仿宋"/>
          <w:bCs/>
          <w:color w:val="auto"/>
          <w:sz w:val="32"/>
          <w:szCs w:val="32"/>
          <w:highlight w:val="none"/>
          <w:lang w:eastAsia="zh-CN"/>
        </w:rPr>
        <w:t>行政事业单位养老支出</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行政事业单位基本养老保险缴费支出</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1.88</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w:t>
      </w:r>
      <w:r>
        <w:rPr>
          <w:rStyle w:val="21"/>
          <w:rFonts w:hint="eastAsia" w:ascii="仿宋" w:hAnsi="仿宋" w:eastAsia="仿宋"/>
          <w:b w:val="0"/>
          <w:bCs/>
          <w:color w:val="auto"/>
          <w:sz w:val="32"/>
          <w:szCs w:val="32"/>
          <w:highlight w:val="none"/>
          <w:lang w:eastAsia="zh-CN"/>
        </w:rPr>
        <w:t>与</w:t>
      </w:r>
      <w:r>
        <w:rPr>
          <w:rStyle w:val="21"/>
          <w:rFonts w:hint="eastAsia" w:ascii="仿宋" w:hAnsi="仿宋" w:eastAsia="仿宋"/>
          <w:b w:val="0"/>
          <w:bCs/>
          <w:color w:val="auto"/>
          <w:sz w:val="32"/>
          <w:szCs w:val="32"/>
          <w:highlight w:val="none"/>
        </w:rPr>
        <w:t>预算数</w:t>
      </w:r>
      <w:r>
        <w:rPr>
          <w:rStyle w:val="21"/>
          <w:rFonts w:hint="eastAsia" w:ascii="仿宋" w:hAnsi="仿宋" w:eastAsia="仿宋"/>
          <w:b w:val="0"/>
          <w:bCs/>
          <w:color w:val="auto"/>
          <w:sz w:val="32"/>
          <w:szCs w:val="32"/>
          <w:highlight w:val="none"/>
          <w:lang w:eastAsia="zh-CN"/>
        </w:rPr>
        <w:t>持平</w:t>
      </w:r>
      <w:r>
        <w:rPr>
          <w:rStyle w:val="21"/>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Style w:val="21"/>
          <w:rFonts w:hint="eastAsia" w:ascii="仿宋" w:hAnsi="仿宋" w:eastAsia="仿宋"/>
          <w:bCs/>
          <w:color w:val="auto"/>
          <w:sz w:val="32"/>
          <w:szCs w:val="32"/>
          <w:highlight w:val="none"/>
          <w:lang w:val="en-US" w:eastAsia="zh-CN"/>
        </w:rPr>
        <w:t>4</w:t>
      </w:r>
      <w:r>
        <w:rPr>
          <w:rStyle w:val="21"/>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行政事业单位医疗</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行政单位医疗</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0.68</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w:t>
      </w:r>
      <w:r>
        <w:rPr>
          <w:rStyle w:val="21"/>
          <w:rFonts w:hint="eastAsia" w:ascii="仿宋" w:hAnsi="仿宋" w:eastAsia="仿宋"/>
          <w:b w:val="0"/>
          <w:bCs/>
          <w:color w:val="auto"/>
          <w:sz w:val="32"/>
          <w:szCs w:val="32"/>
          <w:highlight w:val="none"/>
          <w:lang w:eastAsia="zh-CN"/>
        </w:rPr>
        <w:t>与</w:t>
      </w:r>
      <w:r>
        <w:rPr>
          <w:rStyle w:val="21"/>
          <w:rFonts w:hint="eastAsia" w:ascii="仿宋" w:hAnsi="仿宋" w:eastAsia="仿宋"/>
          <w:b w:val="0"/>
          <w:bCs/>
          <w:color w:val="auto"/>
          <w:sz w:val="32"/>
          <w:szCs w:val="32"/>
          <w:highlight w:val="none"/>
        </w:rPr>
        <w:t>预算数</w:t>
      </w:r>
      <w:r>
        <w:rPr>
          <w:rStyle w:val="21"/>
          <w:rFonts w:hint="eastAsia" w:ascii="仿宋" w:hAnsi="仿宋" w:eastAsia="仿宋"/>
          <w:b w:val="0"/>
          <w:bCs/>
          <w:color w:val="auto"/>
          <w:sz w:val="32"/>
          <w:szCs w:val="32"/>
          <w:highlight w:val="none"/>
          <w:lang w:eastAsia="zh-CN"/>
        </w:rPr>
        <w:t>持平</w:t>
      </w:r>
      <w:r>
        <w:rPr>
          <w:rStyle w:val="21"/>
          <w:rFonts w:hint="eastAsia" w:ascii="仿宋" w:hAnsi="仿宋" w:eastAsia="仿宋"/>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Fonts w:hint="eastAsia" w:ascii="仿宋" w:hAnsi="仿宋" w:eastAsia="仿宋"/>
          <w:b/>
          <w:bCs/>
          <w:color w:val="auto"/>
          <w:sz w:val="32"/>
          <w:szCs w:val="32"/>
          <w:highlight w:val="none"/>
          <w:lang w:val="en-US" w:eastAsia="zh-CN"/>
        </w:rPr>
        <w:t>5.住房保障支出（类）住房改革支出（款）住房公积金（项）：</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1.41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w:t>
      </w:r>
      <w:r>
        <w:rPr>
          <w:rStyle w:val="21"/>
          <w:rFonts w:hint="eastAsia" w:ascii="仿宋" w:hAnsi="仿宋" w:eastAsia="仿宋"/>
          <w:b w:val="0"/>
          <w:bCs/>
          <w:color w:val="auto"/>
          <w:sz w:val="32"/>
          <w:szCs w:val="32"/>
          <w:highlight w:val="none"/>
          <w:lang w:eastAsia="zh-CN"/>
        </w:rPr>
        <w:t>与</w:t>
      </w:r>
      <w:r>
        <w:rPr>
          <w:rStyle w:val="21"/>
          <w:rFonts w:hint="eastAsia" w:ascii="仿宋" w:hAnsi="仿宋" w:eastAsia="仿宋"/>
          <w:b w:val="0"/>
          <w:bCs/>
          <w:color w:val="auto"/>
          <w:sz w:val="32"/>
          <w:szCs w:val="32"/>
          <w:highlight w:val="none"/>
        </w:rPr>
        <w:t>预算数</w:t>
      </w:r>
      <w:r>
        <w:rPr>
          <w:rStyle w:val="21"/>
          <w:rFonts w:hint="eastAsia" w:ascii="仿宋" w:hAnsi="仿宋" w:eastAsia="仿宋"/>
          <w:b w:val="0"/>
          <w:bCs/>
          <w:color w:val="auto"/>
          <w:sz w:val="32"/>
          <w:szCs w:val="32"/>
          <w:highlight w:val="none"/>
          <w:lang w:eastAsia="zh-CN"/>
        </w:rPr>
        <w:t>持平</w:t>
      </w:r>
      <w:r>
        <w:rPr>
          <w:rStyle w:val="21"/>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4"/>
          <w:color w:val="auto"/>
          <w:highlight w:val="none"/>
        </w:rPr>
      </w:pPr>
      <w:bookmarkStart w:id="50" w:name="_Toc30593"/>
      <w:bookmarkStart w:id="51" w:name="_Toc15396608"/>
      <w:bookmarkStart w:id="52"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4"/>
          <w:rFonts w:hint="eastAsia" w:ascii="黑体" w:hAnsi="黑体" w:eastAsia="黑体"/>
          <w:b w:val="0"/>
          <w:color w:val="auto"/>
          <w:highlight w:val="none"/>
        </w:rPr>
        <w:t>般公共预算财政拨款基本支出决算情况说明</w:t>
      </w:r>
      <w:bookmarkEnd w:id="50"/>
      <w:bookmarkEnd w:id="51"/>
      <w:bookmarkEnd w:id="52"/>
      <w:r>
        <w:rPr>
          <w:rStyle w:val="24"/>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52.40</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47.43</w:t>
      </w:r>
      <w:r>
        <w:rPr>
          <w:rFonts w:hint="eastAsia" w:ascii="仿宋" w:hAnsi="仿宋" w:eastAsia="仿宋"/>
          <w:color w:val="auto"/>
          <w:sz w:val="32"/>
          <w:szCs w:val="32"/>
          <w:highlight w:val="none"/>
        </w:rPr>
        <w:t>万元，主要包括：基本工资、津贴补贴、奖金、伙食补助费、机关事业单位基本养老保险缴费、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其他社会保障缴费、住房公积金、生活补助、其他对个人和家庭的补助支出等。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4.96</w:t>
      </w:r>
      <w:r>
        <w:rPr>
          <w:rFonts w:hint="eastAsia" w:ascii="仿宋" w:hAnsi="仿宋" w:eastAsia="仿宋"/>
          <w:color w:val="auto"/>
          <w:sz w:val="32"/>
          <w:szCs w:val="32"/>
          <w:highlight w:val="none"/>
        </w:rPr>
        <w:t>万元，主要包括：办</w:t>
      </w:r>
      <w:r>
        <w:rPr>
          <w:rFonts w:hint="eastAsia" w:ascii="仿宋" w:hAnsi="仿宋" w:eastAsia="仿宋"/>
          <w:color w:val="auto"/>
          <w:sz w:val="32"/>
          <w:szCs w:val="32"/>
          <w:highlight w:val="none"/>
          <w:lang w:val="en-US" w:eastAsia="zh-CN"/>
        </w:rPr>
        <w:t>公费、印刷费、水费、电费、邮电费、物业管理费、差旅费、公务接待费、工会经费、福利费、其他商品和服务支出。</w:t>
      </w:r>
    </w:p>
    <w:p>
      <w:pPr>
        <w:spacing w:line="600" w:lineRule="exact"/>
        <w:ind w:firstLine="640"/>
        <w:outlineLvl w:val="1"/>
        <w:rPr>
          <w:rStyle w:val="24"/>
          <w:rFonts w:ascii="黑体" w:hAnsi="黑体" w:eastAsia="黑体"/>
          <w:b w:val="0"/>
          <w:color w:val="auto"/>
          <w:highlight w:val="none"/>
        </w:rPr>
      </w:pPr>
      <w:bookmarkStart w:id="53" w:name="_Toc15377215"/>
      <w:bookmarkStart w:id="54" w:name="_Toc15396609"/>
      <w:bookmarkStart w:id="55" w:name="_Toc22746"/>
      <w:r>
        <w:rPr>
          <w:rFonts w:hint="eastAsia" w:ascii="黑体" w:eastAsia="黑体"/>
          <w:color w:val="auto"/>
          <w:sz w:val="32"/>
          <w:szCs w:val="32"/>
          <w:highlight w:val="none"/>
        </w:rPr>
        <w:t>七、</w:t>
      </w:r>
      <w:r>
        <w:rPr>
          <w:rStyle w:val="24"/>
          <w:rFonts w:hint="eastAsia" w:ascii="黑体" w:hAnsi="黑体" w:eastAsia="黑体"/>
          <w:b w:val="0"/>
          <w:color w:val="auto"/>
          <w:highlight w:val="none"/>
        </w:rPr>
        <w:t>财政拨款</w:t>
      </w:r>
      <w:r>
        <w:rPr>
          <w:rStyle w:val="24"/>
          <w:rFonts w:hint="eastAsia" w:ascii="黑体" w:hAnsi="黑体" w:eastAsia="黑体"/>
          <w:color w:val="auto"/>
          <w:highlight w:val="none"/>
        </w:rPr>
        <w:t>“</w:t>
      </w:r>
      <w:r>
        <w:rPr>
          <w:rStyle w:val="24"/>
          <w:rFonts w:hint="eastAsia" w:ascii="黑体" w:hAnsi="黑体" w:eastAsia="黑体"/>
          <w:b w:val="0"/>
          <w:color w:val="auto"/>
          <w:highlight w:val="none"/>
        </w:rPr>
        <w:t>三公”经费支出决算情况说明</w:t>
      </w:r>
      <w:bookmarkEnd w:id="53"/>
      <w:bookmarkEnd w:id="54"/>
      <w:bookmarkEnd w:id="55"/>
    </w:p>
    <w:p>
      <w:pPr>
        <w:spacing w:line="600" w:lineRule="exact"/>
        <w:ind w:firstLine="640"/>
        <w:outlineLvl w:val="2"/>
        <w:rPr>
          <w:rFonts w:ascii="仿宋" w:hAnsi="仿宋" w:eastAsia="仿宋"/>
          <w:b/>
          <w:color w:val="auto"/>
          <w:sz w:val="32"/>
          <w:szCs w:val="32"/>
          <w:highlight w:val="none"/>
        </w:rPr>
      </w:pPr>
      <w:bookmarkStart w:id="56" w:name="_Toc15377216"/>
      <w:r>
        <w:rPr>
          <w:rFonts w:hint="eastAsia" w:ascii="仿宋" w:hAnsi="仿宋" w:eastAsia="仿宋"/>
          <w:b/>
          <w:color w:val="auto"/>
          <w:sz w:val="32"/>
          <w:szCs w:val="32"/>
          <w:highlight w:val="none"/>
        </w:rPr>
        <w:t>（一）“三公”经费财政拨款支出决算总体情况说明</w:t>
      </w:r>
      <w:bookmarkEnd w:id="56"/>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0.22万</w:t>
      </w:r>
      <w:r>
        <w:rPr>
          <w:rFonts w:hint="eastAsia" w:ascii="仿宋" w:hAnsi="仿宋" w:eastAsia="仿宋"/>
          <w:color w:val="auto"/>
          <w:sz w:val="32"/>
          <w:szCs w:val="32"/>
          <w:highlight w:val="none"/>
        </w:rPr>
        <w:t>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较上年增加</w:t>
      </w:r>
      <w:r>
        <w:rPr>
          <w:rFonts w:hint="eastAsia" w:ascii="仿宋" w:hAnsi="仿宋" w:eastAsia="仿宋"/>
          <w:color w:val="auto"/>
          <w:sz w:val="32"/>
          <w:szCs w:val="32"/>
          <w:highlight w:val="none"/>
          <w:lang w:val="en-US" w:eastAsia="zh-CN"/>
        </w:rPr>
        <w:t>0.02万元，增长10%。</w:t>
      </w:r>
      <w:r>
        <w:rPr>
          <w:rFonts w:hint="eastAsia" w:ascii="仿宋" w:hAnsi="仿宋" w:eastAsia="仿宋"/>
          <w:color w:val="auto"/>
          <w:sz w:val="32"/>
          <w:szCs w:val="32"/>
          <w:highlight w:val="none"/>
        </w:rPr>
        <w:t>决算数</w:t>
      </w:r>
      <w:r>
        <w:rPr>
          <w:rFonts w:hint="eastAsia" w:ascii="仿宋" w:hAnsi="仿宋" w:eastAsia="仿宋"/>
          <w:color w:val="auto"/>
          <w:sz w:val="32"/>
          <w:szCs w:val="32"/>
          <w:highlight w:val="none"/>
          <w:lang w:eastAsia="zh-CN"/>
        </w:rPr>
        <w:t>与</w:t>
      </w:r>
      <w:r>
        <w:rPr>
          <w:rFonts w:hint="eastAsia" w:ascii="仿宋" w:hAnsi="仿宋" w:eastAsia="仿宋"/>
          <w:color w:val="auto"/>
          <w:sz w:val="32"/>
          <w:szCs w:val="32"/>
          <w:highlight w:val="none"/>
        </w:rPr>
        <w:t>预算数持平。</w:t>
      </w:r>
    </w:p>
    <w:p>
      <w:pPr>
        <w:spacing w:line="600" w:lineRule="exact"/>
        <w:ind w:firstLine="640"/>
        <w:outlineLvl w:val="2"/>
        <w:rPr>
          <w:rFonts w:ascii="仿宋" w:hAnsi="仿宋" w:eastAsia="仿宋"/>
          <w:b/>
          <w:color w:val="auto"/>
          <w:sz w:val="32"/>
          <w:szCs w:val="32"/>
          <w:highlight w:val="none"/>
        </w:rPr>
      </w:pPr>
      <w:bookmarkStart w:id="57" w:name="_Toc15377217"/>
      <w:r>
        <w:rPr>
          <w:rFonts w:hint="eastAsia" w:ascii="仿宋" w:hAnsi="仿宋" w:eastAsia="仿宋"/>
          <w:b/>
          <w:color w:val="auto"/>
          <w:sz w:val="32"/>
          <w:szCs w:val="32"/>
          <w:highlight w:val="none"/>
        </w:rPr>
        <w:t>（二）“三公”经费财政拨款支出决算具体情况说明</w:t>
      </w:r>
      <w:bookmarkEnd w:id="57"/>
    </w:p>
    <w:p>
      <w:pPr>
        <w:spacing w:line="600" w:lineRule="exact"/>
        <w:ind w:firstLine="640"/>
        <w:rPr>
          <w:rFonts w:ascii="仿宋" w:hAnsi="仿宋" w:eastAsia="仿宋"/>
          <w:color w:val="auto"/>
          <w:sz w:val="32"/>
          <w:szCs w:val="32"/>
          <w:highlight w:val="none"/>
        </w:rPr>
      </w:pPr>
      <w:r>
        <w:rPr>
          <w:rFonts w:hint="eastAsia" w:ascii="仿宋" w:hAnsi="仿宋" w:eastAsia="仿宋" w:cs="仿宋"/>
          <w:color w:val="000000"/>
          <w:sz w:val="32"/>
          <w:szCs w:val="32"/>
          <w:lang w:eastAsia="zh-CN"/>
        </w:rPr>
        <w:drawing>
          <wp:anchor distT="0" distB="0" distL="114300" distR="114300" simplePos="0" relativeHeight="251665408" behindDoc="0" locked="0" layoutInCell="1" allowOverlap="1">
            <wp:simplePos x="0" y="0"/>
            <wp:positionH relativeFrom="column">
              <wp:posOffset>263525</wp:posOffset>
            </wp:positionH>
            <wp:positionV relativeFrom="paragraph">
              <wp:posOffset>1529715</wp:posOffset>
            </wp:positionV>
            <wp:extent cx="5155565" cy="3067685"/>
            <wp:effectExtent l="4445" t="4445" r="21590" b="13970"/>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0.22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年初未安排预算</w:t>
      </w:r>
      <w:r>
        <w:rPr>
          <w:rFonts w:hint="default" w:ascii="仿宋_GB2312" w:eastAsia="仿宋_GB2312"/>
          <w:color w:val="auto"/>
          <w:sz w:val="32"/>
          <w:szCs w:val="32"/>
          <w:highlight w:val="none"/>
          <w:lang w:eastAsia="zh-CN"/>
        </w:rPr>
        <w:t>，较2021年无变化</w:t>
      </w:r>
      <w:r>
        <w:rPr>
          <w:rFonts w:hint="eastAsia" w:ascii="仿宋_GB2312" w:eastAsia="仿宋_GB2312"/>
          <w:color w:val="auto"/>
          <w:sz w:val="32"/>
          <w:szCs w:val="32"/>
          <w:highlight w:val="none"/>
          <w:lang w:eastAsia="zh-CN"/>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年初未安排预算</w:t>
      </w:r>
      <w:r>
        <w:rPr>
          <w:rFonts w:hint="default" w:ascii="仿宋_GB2312" w:eastAsia="仿宋_GB2312"/>
          <w:color w:val="auto"/>
          <w:sz w:val="32"/>
          <w:szCs w:val="32"/>
          <w:highlight w:val="none"/>
          <w:lang w:eastAsia="zh-CN"/>
        </w:rPr>
        <w:t>，较2021年无变化</w:t>
      </w:r>
      <w:r>
        <w:rPr>
          <w:rFonts w:hint="eastAsia" w:ascii="仿宋_GB2312" w:eastAsia="仿宋_GB2312"/>
          <w:color w:val="auto"/>
          <w:sz w:val="32"/>
          <w:szCs w:val="32"/>
          <w:highlight w:val="none"/>
          <w:lang w:eastAsia="zh-CN"/>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0.22</w:t>
      </w:r>
      <w:r>
        <w:rPr>
          <w:rFonts w:hint="eastAsia" w:ascii="仿宋_GB2312" w:eastAsia="仿宋_GB2312"/>
          <w:color w:val="auto"/>
          <w:sz w:val="32"/>
          <w:szCs w:val="32"/>
          <w:highlight w:val="none"/>
        </w:rPr>
        <w:t>万元，</w:t>
      </w:r>
      <w:r>
        <w:rPr>
          <w:rStyle w:val="21"/>
          <w:rFonts w:hint="eastAsia" w:ascii="仿宋" w:hAnsi="仿宋" w:eastAsia="仿宋"/>
          <w:b w:val="0"/>
          <w:bCs/>
          <w:color w:val="auto"/>
          <w:sz w:val="32"/>
          <w:szCs w:val="32"/>
          <w:highlight w:val="none"/>
        </w:rPr>
        <w:t>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0.02</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10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来广</w:t>
      </w:r>
      <w:r>
        <w:rPr>
          <w:rFonts w:hint="eastAsia" w:ascii="仿宋_GB2312" w:eastAsia="仿宋_GB2312"/>
          <w:bCs/>
          <w:sz w:val="32"/>
          <w:szCs w:val="32"/>
        </w:rPr>
        <w:t>调研</w:t>
      </w:r>
      <w:r>
        <w:rPr>
          <w:rFonts w:hint="eastAsia" w:ascii="仿宋_GB2312" w:eastAsia="仿宋_GB2312"/>
          <w:bCs/>
          <w:sz w:val="32"/>
          <w:szCs w:val="32"/>
          <w:lang w:eastAsia="zh-CN"/>
        </w:rPr>
        <w:t>考察</w:t>
      </w:r>
      <w:r>
        <w:rPr>
          <w:rFonts w:hint="eastAsia" w:ascii="仿宋_GB2312" w:eastAsia="仿宋_GB2312"/>
          <w:bCs/>
          <w:sz w:val="32"/>
          <w:szCs w:val="32"/>
        </w:rPr>
        <w:t>学习等公务</w:t>
      </w:r>
      <w:r>
        <w:rPr>
          <w:rFonts w:hint="eastAsia" w:ascii="仿宋_GB2312" w:eastAsia="仿宋_GB2312"/>
          <w:bCs/>
          <w:sz w:val="32"/>
          <w:szCs w:val="32"/>
          <w:lang w:eastAsia="zh-CN"/>
        </w:rPr>
        <w:t>接待活动增加</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0.22</w:t>
      </w:r>
      <w:r>
        <w:rPr>
          <w:rFonts w:hint="eastAsia" w:ascii="仿宋_GB2312" w:eastAsia="仿宋_GB2312"/>
          <w:color w:val="auto"/>
          <w:sz w:val="32"/>
          <w:szCs w:val="32"/>
          <w:highlight w:val="none"/>
        </w:rPr>
        <w:t>万元，主要用于</w:t>
      </w:r>
      <w:r>
        <w:rPr>
          <w:rFonts w:hint="eastAsia" w:ascii="仿宋_GB2312" w:eastAsia="仿宋_GB2312"/>
          <w:sz w:val="32"/>
          <w:szCs w:val="32"/>
        </w:rPr>
        <w:t>接待用餐费</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0.22</w:t>
      </w:r>
      <w:r>
        <w:rPr>
          <w:rFonts w:hint="eastAsia" w:ascii="仿宋_GB2312" w:eastAsia="仿宋_GB2312"/>
          <w:color w:val="auto"/>
          <w:sz w:val="32"/>
          <w:szCs w:val="32"/>
          <w:highlight w:val="none"/>
        </w:rPr>
        <w:t>万元，具体内容包括：</w:t>
      </w:r>
      <w:r>
        <w:rPr>
          <w:rFonts w:hint="eastAsia" w:ascii="仿宋_GB2312" w:eastAsia="仿宋_GB2312"/>
          <w:sz w:val="32"/>
          <w:szCs w:val="32"/>
        </w:rPr>
        <w:t>接待民建省委来广</w:t>
      </w:r>
      <w:r>
        <w:rPr>
          <w:rFonts w:hint="eastAsia" w:ascii="仿宋_GB2312" w:eastAsia="仿宋_GB2312"/>
          <w:sz w:val="32"/>
          <w:szCs w:val="32"/>
          <w:lang w:eastAsia="zh-CN"/>
        </w:rPr>
        <w:t>考察投资项目</w:t>
      </w:r>
      <w:r>
        <w:rPr>
          <w:rFonts w:hint="eastAsia" w:ascii="仿宋_GB2312" w:eastAsia="仿宋_GB2312"/>
          <w:sz w:val="32"/>
          <w:szCs w:val="32"/>
        </w:rPr>
        <w:t>、民建</w:t>
      </w:r>
      <w:r>
        <w:rPr>
          <w:rFonts w:hint="eastAsia" w:ascii="仿宋_GB2312" w:eastAsia="仿宋_GB2312"/>
          <w:sz w:val="32"/>
          <w:szCs w:val="32"/>
          <w:lang w:eastAsia="zh-CN"/>
        </w:rPr>
        <w:t>会员</w:t>
      </w:r>
      <w:r>
        <w:rPr>
          <w:rFonts w:hint="eastAsia" w:ascii="仿宋_GB2312" w:eastAsia="仿宋_GB2312"/>
          <w:sz w:val="32"/>
          <w:szCs w:val="32"/>
        </w:rPr>
        <w:t>来广</w:t>
      </w:r>
      <w:r>
        <w:rPr>
          <w:rFonts w:hint="eastAsia" w:ascii="仿宋_GB2312" w:eastAsia="仿宋_GB2312"/>
          <w:sz w:val="32"/>
          <w:szCs w:val="32"/>
          <w:lang w:eastAsia="zh-CN"/>
        </w:rPr>
        <w:t>考察康养项目等</w:t>
      </w:r>
      <w:r>
        <w:rPr>
          <w:rFonts w:hint="eastAsia" w:ascii="仿宋_GB2312" w:eastAsia="仿宋_GB2312"/>
          <w:sz w:val="32"/>
          <w:szCs w:val="32"/>
        </w:rPr>
        <w:t>工作，用餐费共计</w:t>
      </w:r>
      <w:r>
        <w:rPr>
          <w:rFonts w:hint="eastAsia" w:ascii="仿宋_GB2312" w:eastAsia="仿宋_GB2312"/>
          <w:sz w:val="32"/>
          <w:szCs w:val="32"/>
          <w:lang w:val="en-US" w:eastAsia="zh-CN"/>
        </w:rPr>
        <w:t>2411</w:t>
      </w:r>
      <w:r>
        <w:rPr>
          <w:rFonts w:hint="eastAsia" w:ascii="仿宋_GB2312" w:eastAsia="仿宋_GB2312"/>
          <w:sz w:val="32"/>
          <w:szCs w:val="32"/>
        </w:rPr>
        <w:t>元</w:t>
      </w:r>
      <w:r>
        <w:rPr>
          <w:rFonts w:hint="eastAsia" w:ascii="仿宋_GB2312" w:eastAsia="仿宋_GB2312"/>
          <w:color w:val="auto"/>
          <w:sz w:val="32"/>
          <w:szCs w:val="32"/>
          <w:highlight w:val="none"/>
        </w:rPr>
        <w:t>。</w:t>
      </w:r>
    </w:p>
    <w:p>
      <w:pPr>
        <w:spacing w:line="600" w:lineRule="exact"/>
        <w:ind w:firstLine="642" w:firstLineChars="200"/>
        <w:rPr>
          <w:rFonts w:hint="eastAsia" w:ascii="仿宋" w:hAnsi="仿宋" w:eastAsia="仿宋" w:cs="仿宋"/>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 w:hAnsi="仿宋" w:eastAsia="仿宋" w:cs="仿宋"/>
          <w:color w:val="auto"/>
          <w:sz w:val="32"/>
          <w:szCs w:val="32"/>
          <w:highlight w:val="none"/>
        </w:rPr>
        <w:t>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p>
    <w:p>
      <w:pPr>
        <w:spacing w:line="600" w:lineRule="exact"/>
        <w:ind w:firstLine="640"/>
        <w:outlineLvl w:val="1"/>
        <w:rPr>
          <w:rStyle w:val="24"/>
          <w:rFonts w:ascii="黑体" w:hAnsi="黑体" w:eastAsia="黑体"/>
          <w:color w:val="auto"/>
          <w:highlight w:val="none"/>
        </w:rPr>
      </w:pPr>
      <w:bookmarkStart w:id="58" w:name="_Toc15396610"/>
      <w:bookmarkStart w:id="59" w:name="_Toc15377218"/>
      <w:bookmarkStart w:id="60" w:name="_Toc30671"/>
      <w:r>
        <w:rPr>
          <w:rFonts w:hint="eastAsia" w:ascii="黑体" w:eastAsia="黑体"/>
          <w:color w:val="auto"/>
          <w:sz w:val="32"/>
          <w:szCs w:val="32"/>
          <w:highlight w:val="none"/>
        </w:rPr>
        <w:t>八、</w:t>
      </w:r>
      <w:r>
        <w:rPr>
          <w:rStyle w:val="24"/>
          <w:rFonts w:hint="eastAsia" w:ascii="黑体" w:hAnsi="黑体" w:eastAsia="黑体"/>
          <w:b w:val="0"/>
          <w:color w:val="auto"/>
          <w:highlight w:val="none"/>
        </w:rPr>
        <w:t>政府性基金预算支出决算情况说明</w:t>
      </w:r>
      <w:bookmarkEnd w:id="58"/>
      <w:bookmarkEnd w:id="59"/>
      <w:bookmarkEnd w:id="60"/>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4"/>
          <w:rFonts w:ascii="黑体" w:hAnsi="黑体" w:eastAsia="黑体"/>
          <w:b w:val="0"/>
          <w:color w:val="auto"/>
          <w:highlight w:val="none"/>
        </w:rPr>
      </w:pPr>
      <w:bookmarkStart w:id="61" w:name="_Toc15377219"/>
      <w:bookmarkStart w:id="62" w:name="_Toc15396611"/>
      <w:bookmarkStart w:id="63" w:name="_Toc30310"/>
      <w:r>
        <w:rPr>
          <w:rStyle w:val="24"/>
          <w:rFonts w:hint="eastAsia" w:ascii="黑体" w:hAnsi="黑体" w:eastAsia="黑体"/>
          <w:b w:val="0"/>
          <w:color w:val="auto"/>
          <w:highlight w:val="none"/>
        </w:rPr>
        <w:t>国有资本经营预算支出决算情况说明</w:t>
      </w:r>
      <w:bookmarkEnd w:id="61"/>
      <w:bookmarkEnd w:id="62"/>
      <w:bookmarkEnd w:id="6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4"/>
          <w:rFonts w:hint="eastAsia" w:ascii="黑体" w:hAnsi="黑体" w:eastAsia="黑体"/>
          <w:b w:val="0"/>
          <w:color w:val="auto"/>
          <w:highlight w:val="none"/>
        </w:rPr>
      </w:pPr>
      <w:bookmarkStart w:id="64" w:name="_Toc15396612"/>
      <w:bookmarkStart w:id="65" w:name="_Toc15090"/>
      <w:bookmarkStart w:id="66" w:name="_Toc15377221"/>
      <w:r>
        <w:rPr>
          <w:rStyle w:val="24"/>
          <w:rFonts w:hint="eastAsia" w:ascii="黑体" w:hAnsi="黑体" w:eastAsia="黑体"/>
          <w:b w:val="0"/>
          <w:color w:val="auto"/>
          <w:highlight w:val="none"/>
        </w:rPr>
        <w:t>其他重要事项的情况说明</w:t>
      </w:r>
      <w:bookmarkEnd w:id="64"/>
      <w:bookmarkEnd w:id="65"/>
      <w:bookmarkEnd w:id="66"/>
    </w:p>
    <w:p>
      <w:pPr>
        <w:spacing w:line="600" w:lineRule="exact"/>
        <w:ind w:firstLine="642" w:firstLineChars="200"/>
        <w:outlineLvl w:val="2"/>
        <w:rPr>
          <w:rFonts w:ascii="仿宋" w:hAnsi="仿宋" w:eastAsia="仿宋"/>
          <w:color w:val="auto"/>
          <w:sz w:val="32"/>
          <w:szCs w:val="32"/>
          <w:highlight w:val="none"/>
        </w:rPr>
      </w:pPr>
      <w:bookmarkStart w:id="67" w:name="_Toc15377222"/>
      <w:r>
        <w:rPr>
          <w:rFonts w:hint="eastAsia" w:ascii="仿宋" w:hAnsi="仿宋" w:eastAsia="仿宋"/>
          <w:b/>
          <w:color w:val="auto"/>
          <w:sz w:val="32"/>
          <w:szCs w:val="32"/>
          <w:highlight w:val="none"/>
        </w:rPr>
        <w:t>（一）机关运行经费支出情况</w:t>
      </w:r>
      <w:bookmarkEnd w:id="67"/>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中国民主</w:t>
      </w:r>
      <w:r>
        <w:rPr>
          <w:rFonts w:hint="eastAsia" w:ascii="仿宋" w:hAnsi="仿宋" w:eastAsia="仿宋"/>
          <w:sz w:val="32"/>
          <w:szCs w:val="32"/>
        </w:rPr>
        <w:t>建</w:t>
      </w:r>
      <w:r>
        <w:rPr>
          <w:rFonts w:hint="eastAsia" w:ascii="仿宋" w:hAnsi="仿宋" w:eastAsia="仿宋"/>
          <w:sz w:val="32"/>
          <w:szCs w:val="32"/>
          <w:lang w:eastAsia="zh-CN"/>
        </w:rPr>
        <w:t>国会广元</w:t>
      </w:r>
      <w:r>
        <w:rPr>
          <w:rFonts w:hint="eastAsia" w:ascii="仿宋" w:hAnsi="仿宋" w:eastAsia="仿宋"/>
          <w:sz w:val="32"/>
          <w:szCs w:val="32"/>
        </w:rPr>
        <w:t>市委</w:t>
      </w:r>
      <w:r>
        <w:rPr>
          <w:rFonts w:hint="eastAsia" w:ascii="仿宋" w:hAnsi="仿宋" w:eastAsia="仿宋"/>
          <w:sz w:val="32"/>
          <w:szCs w:val="32"/>
          <w:lang w:eastAsia="zh-CN"/>
        </w:rPr>
        <w:t>员会</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4.96</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5.89</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54.28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8" w:name="_Toc15377223"/>
      <w:r>
        <w:rPr>
          <w:rFonts w:hint="eastAsia" w:ascii="仿宋" w:hAnsi="仿宋" w:eastAsia="仿宋"/>
          <w:b/>
          <w:color w:val="auto"/>
          <w:sz w:val="32"/>
          <w:szCs w:val="32"/>
          <w:highlight w:val="none"/>
        </w:rPr>
        <w:t>（二）政府采购支出情况</w:t>
      </w:r>
      <w:bookmarkEnd w:id="68"/>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中国民主</w:t>
      </w:r>
      <w:r>
        <w:rPr>
          <w:rFonts w:hint="eastAsia" w:ascii="仿宋" w:hAnsi="仿宋" w:eastAsia="仿宋"/>
          <w:sz w:val="32"/>
          <w:szCs w:val="32"/>
        </w:rPr>
        <w:t>建</w:t>
      </w:r>
      <w:r>
        <w:rPr>
          <w:rFonts w:hint="eastAsia" w:ascii="仿宋" w:hAnsi="仿宋" w:eastAsia="仿宋"/>
          <w:sz w:val="32"/>
          <w:szCs w:val="32"/>
          <w:lang w:eastAsia="zh-CN"/>
        </w:rPr>
        <w:t>国会广元</w:t>
      </w:r>
      <w:r>
        <w:rPr>
          <w:rFonts w:hint="eastAsia" w:ascii="仿宋" w:hAnsi="仿宋" w:eastAsia="仿宋"/>
          <w:sz w:val="32"/>
          <w:szCs w:val="32"/>
        </w:rPr>
        <w:t>市委</w:t>
      </w:r>
      <w:r>
        <w:rPr>
          <w:rFonts w:hint="eastAsia" w:ascii="仿宋" w:hAnsi="仿宋" w:eastAsia="仿宋"/>
          <w:sz w:val="32"/>
          <w:szCs w:val="32"/>
          <w:lang w:eastAsia="zh-CN"/>
        </w:rPr>
        <w:t>员会</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9" w:name="_Toc15377224"/>
      <w:r>
        <w:rPr>
          <w:rFonts w:hint="eastAsia" w:ascii="仿宋" w:hAnsi="仿宋" w:eastAsia="仿宋"/>
          <w:b/>
          <w:color w:val="auto"/>
          <w:sz w:val="32"/>
          <w:szCs w:val="32"/>
          <w:highlight w:val="none"/>
        </w:rPr>
        <w:t>（三）国有资产占有使用情况</w:t>
      </w:r>
      <w:bookmarkEnd w:id="69"/>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中国民主</w:t>
      </w:r>
      <w:r>
        <w:rPr>
          <w:rFonts w:hint="eastAsia" w:ascii="仿宋" w:hAnsi="仿宋" w:eastAsia="仿宋"/>
          <w:sz w:val="32"/>
          <w:szCs w:val="32"/>
        </w:rPr>
        <w:t>建</w:t>
      </w:r>
      <w:r>
        <w:rPr>
          <w:rFonts w:hint="eastAsia" w:ascii="仿宋" w:hAnsi="仿宋" w:eastAsia="仿宋"/>
          <w:sz w:val="32"/>
          <w:szCs w:val="32"/>
          <w:lang w:eastAsia="zh-CN"/>
        </w:rPr>
        <w:t>国会广元</w:t>
      </w:r>
      <w:r>
        <w:rPr>
          <w:rFonts w:hint="eastAsia" w:ascii="仿宋" w:hAnsi="仿宋" w:eastAsia="仿宋"/>
          <w:sz w:val="32"/>
          <w:szCs w:val="32"/>
        </w:rPr>
        <w:t>市委</w:t>
      </w:r>
      <w:r>
        <w:rPr>
          <w:rFonts w:hint="eastAsia" w:ascii="仿宋" w:hAnsi="仿宋" w:eastAsia="仿宋"/>
          <w:sz w:val="32"/>
          <w:szCs w:val="32"/>
          <w:lang w:eastAsia="zh-CN"/>
        </w:rPr>
        <w:t>员会</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widowControl/>
        <w:ind w:firstLine="640" w:firstLineChars="200"/>
        <w:jc w:val="left"/>
        <w:rPr>
          <w:rFonts w:hint="default"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rPr>
        <w:t>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年度预算编制阶段，组织对民建党派及直属支部专项经费项目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w:t>
      </w:r>
      <w:r>
        <w:rPr>
          <w:rFonts w:hint="default" w:ascii="仿宋_GB2312" w:hAnsi="仿宋_GB2312" w:eastAsia="仿宋_GB2312" w:cs="仿宋_GB2312"/>
          <w:color w:val="auto"/>
          <w:sz w:val="32"/>
          <w:szCs w:val="32"/>
          <w:highlight w:val="none"/>
        </w:rPr>
        <w:t>绩效自评表见第四部分附件。</w:t>
      </w:r>
    </w:p>
    <w:p>
      <w:pPr>
        <w:numPr>
          <w:ilvl w:val="0"/>
          <w:numId w:val="4"/>
        </w:numPr>
        <w:spacing w:line="600" w:lineRule="exact"/>
        <w:ind w:firstLine="660" w:firstLineChars="150"/>
        <w:jc w:val="center"/>
        <w:outlineLvl w:val="0"/>
        <w:rPr>
          <w:rStyle w:val="23"/>
          <w:rFonts w:ascii="黑体" w:hAnsi="黑体" w:eastAsia="黑体"/>
          <w:b w:val="0"/>
          <w:color w:val="auto"/>
          <w:highlight w:val="none"/>
        </w:rPr>
      </w:pPr>
      <w:bookmarkStart w:id="70" w:name="_Toc29770"/>
      <w:bookmarkStart w:id="71" w:name="_Toc15396613"/>
      <w:bookmarkStart w:id="72" w:name="_Toc15377225"/>
      <w:r>
        <w:rPr>
          <w:rFonts w:hint="eastAsia" w:ascii="黑体" w:hAnsi="黑体" w:eastAsia="黑体"/>
          <w:color w:val="auto"/>
          <w:sz w:val="44"/>
          <w:szCs w:val="44"/>
          <w:highlight w:val="none"/>
        </w:rPr>
        <w:t>名</w:t>
      </w:r>
      <w:r>
        <w:rPr>
          <w:rStyle w:val="23"/>
          <w:rFonts w:hint="eastAsia" w:ascii="黑体" w:hAnsi="黑体" w:eastAsia="黑体"/>
          <w:b w:val="0"/>
          <w:color w:val="auto"/>
          <w:highlight w:val="none"/>
        </w:rPr>
        <w:t>词解释</w:t>
      </w:r>
      <w:bookmarkEnd w:id="70"/>
      <w:bookmarkEnd w:id="71"/>
      <w:bookmarkEnd w:id="72"/>
    </w:p>
    <w:p>
      <w:pPr>
        <w:spacing w:line="600" w:lineRule="exact"/>
        <w:jc w:val="left"/>
        <w:rPr>
          <w:rFonts w:ascii="宋体"/>
          <w:b/>
          <w:color w:val="auto"/>
          <w:sz w:val="44"/>
          <w:szCs w:val="44"/>
          <w:highlight w:val="none"/>
        </w:rPr>
      </w:pPr>
    </w:p>
    <w:p>
      <w:pPr>
        <w:pStyle w:val="33"/>
        <w:numPr>
          <w:ilvl w:val="0"/>
          <w:numId w:val="5"/>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取得的财政预算资金。</w:t>
      </w:r>
    </w:p>
    <w:p>
      <w:pPr>
        <w:pStyle w:val="33"/>
        <w:numPr>
          <w:ilvl w:val="0"/>
          <w:numId w:val="5"/>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numPr>
          <w:ilvl w:val="0"/>
          <w:numId w:val="5"/>
        </w:numPr>
        <w:spacing w:line="540" w:lineRule="exact"/>
        <w:ind w:left="0" w:leftChars="0" w:firstLine="400" w:firstLineChars="0"/>
        <w:rPr>
          <w:rStyle w:val="21"/>
          <w:rFonts w:ascii="仿宋" w:hAnsi="仿宋" w:eastAsia="仿宋"/>
          <w:b w:val="0"/>
          <w:bCs/>
          <w:sz w:val="32"/>
          <w:szCs w:val="32"/>
        </w:rPr>
      </w:pPr>
      <w:r>
        <w:rPr>
          <w:rStyle w:val="21"/>
          <w:rFonts w:hint="eastAsia" w:ascii="仿宋" w:hAnsi="仿宋" w:eastAsia="仿宋"/>
          <w:b w:val="0"/>
          <w:bCs/>
          <w:sz w:val="32"/>
          <w:szCs w:val="32"/>
        </w:rPr>
        <w:t>一般公共服务</w:t>
      </w:r>
      <w:r>
        <w:rPr>
          <w:rStyle w:val="21"/>
          <w:rFonts w:ascii="仿宋" w:hAnsi="仿宋" w:eastAsia="仿宋"/>
          <w:b w:val="0"/>
          <w:bCs/>
          <w:sz w:val="32"/>
          <w:szCs w:val="32"/>
        </w:rPr>
        <w:t>201</w:t>
      </w:r>
      <w:r>
        <w:rPr>
          <w:rStyle w:val="21"/>
          <w:rFonts w:hint="eastAsia" w:ascii="仿宋" w:hAnsi="仿宋" w:eastAsia="仿宋"/>
          <w:b w:val="0"/>
          <w:bCs/>
          <w:sz w:val="32"/>
          <w:szCs w:val="32"/>
        </w:rPr>
        <w:t>（类）民主党派及工商联事务</w:t>
      </w:r>
      <w:r>
        <w:rPr>
          <w:rStyle w:val="21"/>
          <w:rFonts w:ascii="仿宋" w:hAnsi="仿宋" w:eastAsia="仿宋"/>
          <w:b w:val="0"/>
          <w:bCs/>
          <w:sz w:val="32"/>
          <w:szCs w:val="32"/>
        </w:rPr>
        <w:t>28</w:t>
      </w:r>
      <w:r>
        <w:rPr>
          <w:rStyle w:val="21"/>
          <w:rFonts w:hint="eastAsia" w:ascii="仿宋" w:hAnsi="仿宋" w:eastAsia="仿宋"/>
          <w:b w:val="0"/>
          <w:bCs/>
          <w:sz w:val="32"/>
          <w:szCs w:val="32"/>
        </w:rPr>
        <w:t>（款）行政运行</w:t>
      </w:r>
      <w:r>
        <w:rPr>
          <w:rStyle w:val="21"/>
          <w:rFonts w:ascii="仿宋" w:hAnsi="仿宋" w:eastAsia="仿宋"/>
          <w:b w:val="0"/>
          <w:bCs/>
          <w:sz w:val="32"/>
          <w:szCs w:val="32"/>
        </w:rPr>
        <w:t>01</w:t>
      </w:r>
      <w:r>
        <w:rPr>
          <w:rStyle w:val="21"/>
          <w:rFonts w:hint="eastAsia" w:ascii="仿宋" w:hAnsi="仿宋" w:eastAsia="仿宋"/>
          <w:b w:val="0"/>
          <w:bCs/>
          <w:sz w:val="32"/>
          <w:szCs w:val="32"/>
        </w:rPr>
        <w:t>（项）</w:t>
      </w:r>
      <w:r>
        <w:rPr>
          <w:rStyle w:val="21"/>
          <w:rFonts w:ascii="仿宋" w:hAnsi="仿宋" w:eastAsia="仿宋"/>
          <w:b w:val="0"/>
          <w:bCs/>
          <w:sz w:val="32"/>
          <w:szCs w:val="32"/>
        </w:rPr>
        <w:t>:</w:t>
      </w:r>
      <w:r>
        <w:rPr>
          <w:rStyle w:val="21"/>
          <w:rFonts w:hint="eastAsia" w:ascii="仿宋" w:hAnsi="仿宋" w:eastAsia="仿宋"/>
          <w:b w:val="0"/>
          <w:bCs/>
          <w:sz w:val="32"/>
          <w:szCs w:val="32"/>
        </w:rPr>
        <w:t>指反映行政单位（包括实行公务员管理的事业单位）的基本支出。</w:t>
      </w:r>
    </w:p>
    <w:p>
      <w:pPr>
        <w:numPr>
          <w:ilvl w:val="0"/>
          <w:numId w:val="5"/>
        </w:numPr>
        <w:spacing w:line="540" w:lineRule="exact"/>
        <w:ind w:left="0" w:leftChars="0" w:firstLine="400" w:firstLineChars="0"/>
        <w:rPr>
          <w:rStyle w:val="21"/>
          <w:rFonts w:hint="eastAsia" w:ascii="仿宋" w:hAnsi="仿宋" w:eastAsia="仿宋"/>
          <w:b w:val="0"/>
          <w:bCs/>
          <w:color w:val="FF0000"/>
          <w:sz w:val="32"/>
          <w:szCs w:val="32"/>
        </w:rPr>
      </w:pPr>
      <w:r>
        <w:rPr>
          <w:rStyle w:val="21"/>
          <w:rFonts w:hint="eastAsia" w:ascii="仿宋" w:hAnsi="仿宋" w:eastAsia="仿宋"/>
          <w:b w:val="0"/>
          <w:bCs/>
          <w:sz w:val="32"/>
          <w:szCs w:val="32"/>
        </w:rPr>
        <w:t>一般公共服务</w:t>
      </w:r>
      <w:r>
        <w:rPr>
          <w:rStyle w:val="21"/>
          <w:rFonts w:ascii="仿宋" w:hAnsi="仿宋" w:eastAsia="仿宋"/>
          <w:b w:val="0"/>
          <w:bCs/>
          <w:sz w:val="32"/>
          <w:szCs w:val="32"/>
        </w:rPr>
        <w:t>201</w:t>
      </w:r>
      <w:r>
        <w:rPr>
          <w:rStyle w:val="21"/>
          <w:rFonts w:hint="eastAsia" w:ascii="仿宋" w:hAnsi="仿宋" w:eastAsia="仿宋"/>
          <w:b w:val="0"/>
          <w:bCs/>
          <w:sz w:val="32"/>
          <w:szCs w:val="32"/>
        </w:rPr>
        <w:t>（类）民主党派及工商联事务</w:t>
      </w:r>
      <w:r>
        <w:rPr>
          <w:rStyle w:val="21"/>
          <w:rFonts w:ascii="仿宋" w:hAnsi="仿宋" w:eastAsia="仿宋"/>
          <w:b w:val="0"/>
          <w:bCs/>
          <w:sz w:val="32"/>
          <w:szCs w:val="32"/>
        </w:rPr>
        <w:t>28</w:t>
      </w:r>
      <w:r>
        <w:rPr>
          <w:rStyle w:val="21"/>
          <w:rFonts w:hint="eastAsia" w:ascii="仿宋" w:hAnsi="仿宋" w:eastAsia="仿宋"/>
          <w:b w:val="0"/>
          <w:bCs/>
          <w:sz w:val="32"/>
          <w:szCs w:val="32"/>
        </w:rPr>
        <w:t>（款）</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一般行政管理事务</w:t>
      </w:r>
      <w:r>
        <w:rPr>
          <w:rStyle w:val="21"/>
          <w:rFonts w:ascii="仿宋" w:hAnsi="仿宋" w:eastAsia="仿宋"/>
          <w:b w:val="0"/>
          <w:bCs/>
          <w:sz w:val="32"/>
          <w:szCs w:val="32"/>
        </w:rPr>
        <w:t>02</w:t>
      </w:r>
      <w:r>
        <w:rPr>
          <w:rStyle w:val="21"/>
          <w:rFonts w:hint="eastAsia" w:ascii="仿宋" w:hAnsi="仿宋" w:eastAsia="仿宋"/>
          <w:b w:val="0"/>
          <w:bCs/>
          <w:sz w:val="32"/>
          <w:szCs w:val="32"/>
        </w:rPr>
        <w:t>（项）</w:t>
      </w:r>
      <w:r>
        <w:rPr>
          <w:rStyle w:val="21"/>
          <w:rFonts w:ascii="仿宋" w:hAnsi="仿宋" w:eastAsia="仿宋"/>
          <w:b w:val="0"/>
          <w:bCs/>
          <w:sz w:val="32"/>
          <w:szCs w:val="32"/>
        </w:rPr>
        <w:t>:</w:t>
      </w:r>
      <w:r>
        <w:rPr>
          <w:rStyle w:val="21"/>
          <w:rFonts w:hint="eastAsia" w:ascii="仿宋" w:hAnsi="仿宋" w:eastAsia="仿宋"/>
          <w:b w:val="0"/>
          <w:bCs/>
          <w:sz w:val="32"/>
          <w:szCs w:val="32"/>
        </w:rPr>
        <w:t xml:space="preserve"> 指反映行政单位（包括实行公务员管理的事业单位）未单独设置项级科目的其他项目支出。</w:t>
      </w:r>
    </w:p>
    <w:p>
      <w:pPr>
        <w:numPr>
          <w:ilvl w:val="0"/>
          <w:numId w:val="5"/>
        </w:numPr>
        <w:spacing w:line="540" w:lineRule="exact"/>
        <w:ind w:left="0" w:leftChars="0" w:firstLine="400" w:firstLineChars="0"/>
        <w:rPr>
          <w:rStyle w:val="21"/>
          <w:rFonts w:ascii="仿宋" w:hAnsi="仿宋" w:eastAsia="仿宋"/>
          <w:b w:val="0"/>
          <w:bCs/>
          <w:sz w:val="32"/>
          <w:szCs w:val="32"/>
        </w:rPr>
      </w:pPr>
      <w:r>
        <w:rPr>
          <w:rStyle w:val="21"/>
          <w:rFonts w:hint="eastAsia" w:ascii="仿宋" w:hAnsi="仿宋" w:eastAsia="仿宋"/>
          <w:b w:val="0"/>
          <w:bCs/>
          <w:sz w:val="32"/>
          <w:szCs w:val="32"/>
        </w:rPr>
        <w:t>社会保障和就业</w:t>
      </w:r>
      <w:r>
        <w:rPr>
          <w:rStyle w:val="21"/>
          <w:rFonts w:ascii="仿宋" w:hAnsi="仿宋" w:eastAsia="仿宋"/>
          <w:b w:val="0"/>
          <w:bCs/>
          <w:sz w:val="32"/>
          <w:szCs w:val="32"/>
        </w:rPr>
        <w:t>208</w:t>
      </w:r>
      <w:r>
        <w:rPr>
          <w:rStyle w:val="21"/>
          <w:rFonts w:hint="eastAsia" w:ascii="仿宋" w:hAnsi="仿宋" w:eastAsia="仿宋"/>
          <w:b w:val="0"/>
          <w:bCs/>
          <w:sz w:val="32"/>
          <w:szCs w:val="32"/>
        </w:rPr>
        <w:t>（类）行政事业单位养老</w:t>
      </w:r>
      <w:r>
        <w:rPr>
          <w:rStyle w:val="21"/>
          <w:rFonts w:ascii="仿宋" w:hAnsi="仿宋" w:eastAsia="仿宋"/>
          <w:b w:val="0"/>
          <w:bCs/>
          <w:sz w:val="32"/>
          <w:szCs w:val="32"/>
        </w:rPr>
        <w:t>05</w:t>
      </w:r>
      <w:r>
        <w:rPr>
          <w:rStyle w:val="21"/>
          <w:rFonts w:hint="eastAsia" w:ascii="仿宋" w:hAnsi="仿宋" w:eastAsia="仿宋"/>
          <w:b w:val="0"/>
          <w:bCs/>
          <w:sz w:val="32"/>
          <w:szCs w:val="32"/>
        </w:rPr>
        <w:t>（款）机关事业单位基本养老保险缴费</w:t>
      </w:r>
      <w:r>
        <w:rPr>
          <w:rStyle w:val="21"/>
          <w:rFonts w:ascii="仿宋" w:hAnsi="仿宋" w:eastAsia="仿宋"/>
          <w:b w:val="0"/>
          <w:bCs/>
          <w:sz w:val="32"/>
          <w:szCs w:val="32"/>
        </w:rPr>
        <w:t>05</w:t>
      </w:r>
      <w:r>
        <w:rPr>
          <w:rStyle w:val="21"/>
          <w:rFonts w:hint="eastAsia" w:ascii="仿宋" w:hAnsi="仿宋" w:eastAsia="仿宋"/>
          <w:b w:val="0"/>
          <w:bCs/>
          <w:sz w:val="32"/>
          <w:szCs w:val="32"/>
        </w:rPr>
        <w:t>（项）</w:t>
      </w:r>
      <w:r>
        <w:rPr>
          <w:rStyle w:val="21"/>
          <w:rFonts w:ascii="仿宋" w:hAnsi="仿宋" w:eastAsia="仿宋"/>
          <w:b w:val="0"/>
          <w:bCs/>
          <w:sz w:val="32"/>
          <w:szCs w:val="32"/>
        </w:rPr>
        <w:t>:</w:t>
      </w:r>
      <w:r>
        <w:rPr>
          <w:rStyle w:val="21"/>
          <w:rFonts w:hint="eastAsia" w:ascii="仿宋" w:hAnsi="仿宋" w:eastAsia="仿宋"/>
          <w:b w:val="0"/>
          <w:bCs/>
          <w:sz w:val="32"/>
          <w:szCs w:val="32"/>
        </w:rPr>
        <w:t xml:space="preserve"> 指反映机关事业单位实施养老保险制度由单位缴纳的基本养老保险费的支出。</w:t>
      </w:r>
    </w:p>
    <w:p>
      <w:pPr>
        <w:numPr>
          <w:ilvl w:val="0"/>
          <w:numId w:val="5"/>
        </w:numPr>
        <w:spacing w:line="560" w:lineRule="exact"/>
        <w:ind w:left="0" w:leftChars="0" w:firstLine="400" w:firstLineChars="0"/>
        <w:rPr>
          <w:rFonts w:ascii="仿宋" w:hAnsi="仿宋" w:eastAsia="仿宋"/>
          <w:sz w:val="32"/>
          <w:szCs w:val="32"/>
        </w:rPr>
      </w:pPr>
      <w:r>
        <w:rPr>
          <w:rFonts w:hint="eastAsia" w:ascii="仿宋" w:hAnsi="仿宋" w:eastAsia="仿宋"/>
          <w:bCs/>
          <w:sz w:val="32"/>
          <w:szCs w:val="32"/>
        </w:rPr>
        <w:t>卫生健康</w:t>
      </w:r>
      <w:r>
        <w:rPr>
          <w:rStyle w:val="21"/>
          <w:rFonts w:ascii="仿宋" w:hAnsi="仿宋" w:eastAsia="仿宋"/>
          <w:b w:val="0"/>
          <w:bCs/>
          <w:sz w:val="32"/>
          <w:szCs w:val="32"/>
        </w:rPr>
        <w:t>210</w:t>
      </w:r>
      <w:r>
        <w:rPr>
          <w:rStyle w:val="21"/>
          <w:rFonts w:hint="eastAsia" w:ascii="仿宋" w:hAnsi="仿宋" w:eastAsia="仿宋"/>
          <w:b w:val="0"/>
          <w:bCs/>
          <w:sz w:val="32"/>
          <w:szCs w:val="32"/>
        </w:rPr>
        <w:t>（类）行政事业单位医疗</w:t>
      </w:r>
      <w:r>
        <w:rPr>
          <w:rStyle w:val="21"/>
          <w:rFonts w:ascii="仿宋" w:hAnsi="仿宋" w:eastAsia="仿宋"/>
          <w:b w:val="0"/>
          <w:bCs/>
          <w:sz w:val="32"/>
          <w:szCs w:val="32"/>
        </w:rPr>
        <w:t>11</w:t>
      </w:r>
      <w:r>
        <w:rPr>
          <w:rStyle w:val="21"/>
          <w:rFonts w:hint="eastAsia" w:ascii="仿宋" w:hAnsi="仿宋" w:eastAsia="仿宋"/>
          <w:b w:val="0"/>
          <w:bCs/>
          <w:sz w:val="32"/>
          <w:szCs w:val="32"/>
        </w:rPr>
        <w:t>（款）行政单位医疗</w:t>
      </w:r>
      <w:r>
        <w:rPr>
          <w:rStyle w:val="21"/>
          <w:rFonts w:ascii="仿宋" w:hAnsi="仿宋" w:eastAsia="仿宋"/>
          <w:b w:val="0"/>
          <w:bCs/>
          <w:sz w:val="32"/>
          <w:szCs w:val="32"/>
        </w:rPr>
        <w:t>01</w:t>
      </w:r>
      <w:r>
        <w:rPr>
          <w:rStyle w:val="21"/>
          <w:rFonts w:hint="eastAsia" w:ascii="仿宋" w:hAnsi="仿宋" w:eastAsia="仿宋"/>
          <w:b w:val="0"/>
          <w:bCs/>
          <w:sz w:val="32"/>
          <w:szCs w:val="32"/>
        </w:rPr>
        <w:t>（项）</w:t>
      </w:r>
      <w:r>
        <w:rPr>
          <w:rStyle w:val="21"/>
          <w:rFonts w:ascii="仿宋" w:hAnsi="仿宋" w:eastAsia="仿宋"/>
          <w:b w:val="0"/>
          <w:bCs/>
          <w:sz w:val="32"/>
          <w:szCs w:val="32"/>
        </w:rPr>
        <w:t>:</w:t>
      </w:r>
      <w:r>
        <w:rPr>
          <w:rStyle w:val="21"/>
          <w:rFonts w:hint="eastAsia" w:ascii="仿宋" w:hAnsi="仿宋" w:eastAsia="仿宋"/>
          <w:b w:val="0"/>
          <w:bCs/>
          <w:sz w:val="32"/>
          <w:szCs w:val="32"/>
        </w:rPr>
        <w:t xml:space="preserve"> 指反映财政单位安排的行政单位（包括实行公务员管理的事业单位，下同）基本医疗保险缴费经费，未参加医疗保险的行政单位的公费医疗经费，按国家规定享受离休人员、红军老战士待遇人员的医疗经费。</w:t>
      </w:r>
    </w:p>
    <w:p>
      <w:pPr>
        <w:numPr>
          <w:ilvl w:val="0"/>
          <w:numId w:val="5"/>
        </w:numPr>
        <w:spacing w:line="560" w:lineRule="exact"/>
        <w:ind w:left="0" w:leftChars="0" w:firstLine="400" w:firstLineChars="0"/>
        <w:rPr>
          <w:rFonts w:ascii="仿宋" w:hAnsi="仿宋" w:eastAsia="仿宋"/>
          <w:sz w:val="32"/>
          <w:szCs w:val="32"/>
        </w:rPr>
      </w:pPr>
      <w:r>
        <w:rPr>
          <w:rFonts w:hint="eastAsia" w:ascii="仿宋" w:hAnsi="仿宋" w:eastAsia="仿宋"/>
          <w:sz w:val="32"/>
          <w:szCs w:val="32"/>
        </w:rPr>
        <w:t>住房保障</w:t>
      </w:r>
      <w:r>
        <w:rPr>
          <w:rStyle w:val="21"/>
          <w:rFonts w:ascii="仿宋" w:hAnsi="仿宋" w:eastAsia="仿宋"/>
          <w:b w:val="0"/>
          <w:bCs/>
          <w:sz w:val="32"/>
          <w:szCs w:val="32"/>
        </w:rPr>
        <w:t>221</w:t>
      </w:r>
      <w:r>
        <w:rPr>
          <w:rStyle w:val="21"/>
          <w:rFonts w:hint="eastAsia" w:ascii="仿宋" w:hAnsi="仿宋" w:eastAsia="仿宋"/>
          <w:b w:val="0"/>
          <w:bCs/>
          <w:sz w:val="32"/>
          <w:szCs w:val="32"/>
        </w:rPr>
        <w:t>（类）住房改革支出</w:t>
      </w:r>
      <w:r>
        <w:rPr>
          <w:rStyle w:val="21"/>
          <w:rFonts w:ascii="仿宋" w:hAnsi="仿宋" w:eastAsia="仿宋"/>
          <w:b w:val="0"/>
          <w:bCs/>
          <w:sz w:val="32"/>
          <w:szCs w:val="32"/>
        </w:rPr>
        <w:t>02</w:t>
      </w:r>
      <w:r>
        <w:rPr>
          <w:rStyle w:val="21"/>
          <w:rFonts w:hint="eastAsia" w:ascii="仿宋" w:hAnsi="仿宋" w:eastAsia="仿宋"/>
          <w:b w:val="0"/>
          <w:bCs/>
          <w:sz w:val="32"/>
          <w:szCs w:val="32"/>
        </w:rPr>
        <w:t>（款）住房公积金</w:t>
      </w:r>
      <w:r>
        <w:rPr>
          <w:rStyle w:val="21"/>
          <w:rFonts w:ascii="仿宋" w:hAnsi="仿宋" w:eastAsia="仿宋"/>
          <w:b w:val="0"/>
          <w:bCs/>
          <w:sz w:val="32"/>
          <w:szCs w:val="32"/>
        </w:rPr>
        <w:t>01</w:t>
      </w:r>
      <w:r>
        <w:rPr>
          <w:rStyle w:val="21"/>
          <w:rFonts w:hint="eastAsia" w:ascii="仿宋" w:hAnsi="仿宋" w:eastAsia="仿宋"/>
          <w:b w:val="0"/>
          <w:bCs/>
          <w:sz w:val="32"/>
          <w:szCs w:val="32"/>
        </w:rPr>
        <w:t>（项）</w:t>
      </w:r>
      <w:r>
        <w:rPr>
          <w:rStyle w:val="21"/>
          <w:rFonts w:ascii="仿宋" w:hAnsi="仿宋" w:eastAsia="仿宋"/>
          <w:b w:val="0"/>
          <w:bCs/>
          <w:sz w:val="32"/>
          <w:szCs w:val="32"/>
        </w:rPr>
        <w:t>:</w:t>
      </w:r>
      <w:r>
        <w:rPr>
          <w:rStyle w:val="21"/>
          <w:rFonts w:hint="eastAsia" w:ascii="仿宋" w:hAnsi="仿宋" w:eastAsia="仿宋"/>
          <w:b w:val="0"/>
          <w:bCs/>
          <w:sz w:val="32"/>
          <w:szCs w:val="32"/>
        </w:rPr>
        <w:t xml:space="preserve"> 指反映行政事业单位按人力资源和社会保障部、财政部规定的基本工资和津贴补贴以及规定比例为职工缴纳的住房公积金。</w:t>
      </w:r>
    </w:p>
    <w:p>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33"/>
        <w:numPr>
          <w:ilvl w:val="0"/>
          <w:numId w:val="5"/>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3"/>
        <w:numPr>
          <w:ilvl w:val="0"/>
          <w:numId w:val="5"/>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9"/>
        <w:rPr>
          <w:rFonts w:ascii="宋体"/>
          <w:b/>
          <w:color w:val="auto"/>
          <w:sz w:val="44"/>
          <w:szCs w:val="44"/>
          <w:highlight w:val="none"/>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bookmarkStart w:id="73" w:name="_Toc15377226"/>
    </w:p>
    <w:p>
      <w:pPr>
        <w:numPr>
          <w:ilvl w:val="0"/>
          <w:numId w:val="4"/>
        </w:numPr>
        <w:spacing w:line="600" w:lineRule="exact"/>
        <w:ind w:left="0" w:leftChars="0" w:firstLine="660" w:firstLineChars="150"/>
        <w:jc w:val="center"/>
        <w:outlineLvl w:val="0"/>
        <w:rPr>
          <w:rStyle w:val="23"/>
          <w:rFonts w:hint="eastAsia" w:ascii="黑体" w:hAnsi="黑体" w:eastAsia="黑体"/>
          <w:b w:val="0"/>
          <w:color w:val="000000" w:themeColor="text1"/>
          <w:highlight w:val="none"/>
          <w14:textFill>
            <w14:solidFill>
              <w14:schemeClr w14:val="tx1"/>
            </w14:solidFill>
          </w14:textFill>
        </w:rPr>
      </w:pPr>
      <w:bookmarkStart w:id="74" w:name="_Toc15396614"/>
      <w:bookmarkStart w:id="75" w:name="_Toc7037"/>
      <w:r>
        <w:rPr>
          <w:rStyle w:val="23"/>
          <w:rFonts w:hint="eastAsia" w:ascii="黑体" w:hAnsi="黑体" w:eastAsia="黑体"/>
          <w:b w:val="0"/>
          <w:color w:val="000000" w:themeColor="text1"/>
          <w:highlight w:val="none"/>
          <w14:textFill>
            <w14:solidFill>
              <w14:schemeClr w14:val="tx1"/>
            </w14:solidFill>
          </w14:textFill>
        </w:rPr>
        <w:t>附件</w:t>
      </w:r>
      <w:bookmarkEnd w:id="74"/>
      <w:bookmarkEnd w:id="75"/>
    </w:p>
    <w:p>
      <w:pPr>
        <w:pStyle w:val="2"/>
        <w:numPr>
          <w:ilvl w:val="0"/>
          <w:numId w:val="0"/>
        </w:numPr>
        <w:ind w:leftChars="150"/>
        <w:outlineLvl w:val="1"/>
        <w:rPr>
          <w:rFonts w:hint="default"/>
          <w:color w:val="000000" w:themeColor="text1"/>
          <w:highlight w:val="none"/>
          <w:lang w:val="en-US" w:eastAsia="zh-CN"/>
          <w14:textFill>
            <w14:solidFill>
              <w14:schemeClr w14:val="tx1"/>
            </w14:solidFill>
          </w14:textFill>
        </w:rPr>
      </w:pPr>
      <w:bookmarkStart w:id="76" w:name="_Toc13218"/>
      <w:r>
        <w:rPr>
          <w:rFonts w:hint="eastAsia"/>
          <w:color w:val="000000" w:themeColor="text1"/>
          <w:highlight w:val="none"/>
          <w:lang w:val="en-US" w:eastAsia="zh-CN"/>
          <w14:textFill>
            <w14:solidFill>
              <w14:schemeClr w14:val="tx1"/>
            </w14:solidFill>
          </w14:textFill>
        </w:rPr>
        <w:t>附件1</w:t>
      </w:r>
      <w:bookmarkEnd w:id="76"/>
    </w:p>
    <w:tbl>
      <w:tblPr>
        <w:tblStyle w:val="19"/>
        <w:tblW w:w="0" w:type="auto"/>
        <w:tblInd w:w="0" w:type="dxa"/>
        <w:shd w:val="clear" w:color="auto" w:fill="auto"/>
        <w:tblLayout w:type="autofit"/>
        <w:tblCellMar>
          <w:top w:w="0" w:type="dxa"/>
          <w:left w:w="0" w:type="dxa"/>
          <w:bottom w:w="0" w:type="dxa"/>
          <w:right w:w="0" w:type="dxa"/>
        </w:tblCellMar>
      </w:tblPr>
      <w:tblGrid>
        <w:gridCol w:w="888"/>
        <w:gridCol w:w="1065"/>
        <w:gridCol w:w="2040"/>
        <w:gridCol w:w="2808"/>
        <w:gridCol w:w="3403"/>
        <w:gridCol w:w="1294"/>
        <w:gridCol w:w="618"/>
        <w:gridCol w:w="917"/>
        <w:gridCol w:w="955"/>
      </w:tblGrid>
      <w:tr>
        <w:tblPrEx>
          <w:tblCellMar>
            <w:top w:w="0" w:type="dxa"/>
            <w:left w:w="0" w:type="dxa"/>
            <w:bottom w:w="0" w:type="dxa"/>
            <w:right w:w="0" w:type="dxa"/>
          </w:tblCellMar>
        </w:tblPrEx>
        <w:trPr>
          <w:trHeight w:val="90" w:hRule="atLeast"/>
        </w:trPr>
        <w:tc>
          <w:tcPr>
            <w:tcW w:w="0" w:type="auto"/>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themeColor="text1"/>
                <w:sz w:val="16"/>
                <w:szCs w:val="16"/>
                <w:highlight w:val="none"/>
                <w:u w:val="none"/>
                <w14:textFill>
                  <w14:solidFill>
                    <w14:schemeClr w14:val="tx1"/>
                  </w14:solidFill>
                </w14:textFill>
              </w:rPr>
            </w:pPr>
            <w:r>
              <w:rPr>
                <w:rFonts w:hint="eastAsia" w:ascii="方正小标宋简体" w:hAnsi="方正小标宋简体" w:eastAsia="方正小标宋简体" w:cs="方正小标宋简体"/>
                <w:i w:val="0"/>
                <w:color w:val="000000" w:themeColor="text1"/>
                <w:kern w:val="0"/>
                <w:sz w:val="16"/>
                <w:szCs w:val="16"/>
                <w:highlight w:val="none"/>
                <w:u w:val="none"/>
                <w:lang w:val="en-US" w:eastAsia="zh-CN" w:bidi="ar"/>
                <w14:textFill>
                  <w14:solidFill>
                    <w14:schemeClr w14:val="tx1"/>
                  </w14:solidFill>
                </w14:textFill>
              </w:rPr>
              <w:t>单位</w:t>
            </w:r>
            <w:r>
              <w:rPr>
                <w:rFonts w:hint="default" w:ascii="方正小标宋简体" w:hAnsi="方正小标宋简体" w:eastAsia="方正小标宋简体" w:cs="方正小标宋简体"/>
                <w:i w:val="0"/>
                <w:color w:val="000000" w:themeColor="text1"/>
                <w:kern w:val="0"/>
                <w:sz w:val="16"/>
                <w:szCs w:val="16"/>
                <w:highlight w:val="none"/>
                <w:u w:val="none"/>
                <w:lang w:val="en-US" w:eastAsia="zh-CN" w:bidi="ar"/>
                <w14:textFill>
                  <w14:solidFill>
                    <w14:schemeClr w14:val="tx1"/>
                  </w14:solidFill>
                </w14:textFill>
              </w:rPr>
              <w:t>整体支出绩效目标自评表（2022年度）</w:t>
            </w:r>
          </w:p>
        </w:tc>
      </w:tr>
      <w:tr>
        <w:tblPrEx>
          <w:shd w:val="clear" w:color="auto" w:fill="auto"/>
          <w:tblCellMar>
            <w:top w:w="0" w:type="dxa"/>
            <w:left w:w="0" w:type="dxa"/>
            <w:bottom w:w="0" w:type="dxa"/>
            <w:right w:w="0"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cs="宋体"/>
                <w:i w:val="0"/>
                <w:color w:val="000000" w:themeColor="text1"/>
                <w:kern w:val="0"/>
                <w:sz w:val="16"/>
                <w:szCs w:val="16"/>
                <w:highlight w:val="none"/>
                <w:u w:val="none"/>
                <w:lang w:val="en-US" w:eastAsia="zh-CN" w:bidi="ar"/>
                <w14:textFill>
                  <w14:solidFill>
                    <w14:schemeClr w14:val="tx1"/>
                  </w14:solidFill>
                </w14:textFill>
              </w:rPr>
              <w:t>单位</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中国民主建国会广元市委员会</w:t>
            </w:r>
          </w:p>
        </w:tc>
      </w:tr>
      <w:tr>
        <w:tblPrEx>
          <w:tblCellMar>
            <w:top w:w="0" w:type="dxa"/>
            <w:left w:w="0" w:type="dxa"/>
            <w:bottom w:w="0" w:type="dxa"/>
            <w:right w:w="0" w:type="dxa"/>
          </w:tblCellMar>
        </w:tblPrEx>
        <w:trPr>
          <w:trHeight w:val="28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年度</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主要</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任务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任务名称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主要内容</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预算金额（万元）</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实际执行（万元）</w:t>
            </w:r>
          </w:p>
        </w:tc>
      </w:tr>
      <w:tr>
        <w:tblPrEx>
          <w:tblCellMar>
            <w:top w:w="0" w:type="dxa"/>
            <w:left w:w="0" w:type="dxa"/>
            <w:bottom w:w="0" w:type="dxa"/>
            <w:right w:w="0" w:type="dxa"/>
          </w:tblCellMar>
        </w:tblPrEx>
        <w:trPr>
          <w:trHeight w:val="18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总额</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其他资金</w:t>
            </w:r>
          </w:p>
        </w:tc>
      </w:tr>
      <w:tr>
        <w:tblPrEx>
          <w:tblCellMar>
            <w:top w:w="0" w:type="dxa"/>
            <w:left w:w="0" w:type="dxa"/>
            <w:bottom w:w="0" w:type="dxa"/>
            <w:right w:w="0" w:type="dxa"/>
          </w:tblCellMar>
        </w:tblPrEx>
        <w:trPr>
          <w:trHeight w:val="5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民建广元民主党派事业专项工作经费</w:t>
            </w:r>
          </w:p>
        </w:tc>
        <w:tc>
          <w:tcPr>
            <w:tcW w:w="0" w:type="auto"/>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开展参政议政工作、社会服务工作、民主监督、政治建设、理论研究等</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20.21</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20.21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人员经费</w:t>
            </w:r>
          </w:p>
        </w:tc>
        <w:tc>
          <w:tcPr>
            <w:tcW w:w="0" w:type="auto"/>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人员经费支出</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47.43</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47.43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公用经费</w:t>
            </w:r>
          </w:p>
        </w:tc>
        <w:tc>
          <w:tcPr>
            <w:tcW w:w="0" w:type="auto"/>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单位基本公用支出、工会经费等</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4.96</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4.96</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金额合计</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72.61</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72.61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85" w:hRule="atLeast"/>
        </w:trPr>
        <w:tc>
          <w:tcPr>
            <w:tcW w:w="0" w:type="auto"/>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年度</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总体</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目标</w:t>
            </w:r>
          </w:p>
        </w:tc>
        <w:tc>
          <w:tcPr>
            <w:tcW w:w="6104"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预期目标</w:t>
            </w:r>
          </w:p>
        </w:tc>
        <w:tc>
          <w:tcPr>
            <w:tcW w:w="718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实际完成目标</w:t>
            </w:r>
          </w:p>
        </w:tc>
      </w:tr>
      <w:tr>
        <w:trPr>
          <w:trHeight w:val="372" w:hRule="atLeast"/>
        </w:trPr>
        <w:tc>
          <w:tcPr>
            <w:tcW w:w="0" w:type="auto"/>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61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履行参政议政职责，开展调查研究，完成调研课题，积极建言献策，为广元经济社会发展献计出力。2.积极开展社会服务工作，开展“巩固脱贫攻坚成果、全面推进乡村振兴”专题工作，“三下乡”社会服务，积极争取社会各界乡村振兴项目等。3.开展政治交接实践活动，以习近平新时代中国特色社会主义思想为指引，强化思想建设，增进政治共识。4.连民心、惠民利，在主动社会服务中展现新作为。</w:t>
            </w:r>
          </w:p>
        </w:tc>
        <w:tc>
          <w:tcPr>
            <w:tcW w:w="718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履行参政议政职责，开展调查研究，完成调研课题，积极建言献策，为广元经济社会发展献计出力。2.积极开展社会服务工作，开展“巩固脱贫攻坚成果、全面推进乡村振兴”专题工作，“三下乡”社会服务，积极争取社会各界乡村振兴项目等。3.开展政治交接实践活动，以习近平新时代中国特色社会主义思想为指引，强化思想建设，增进政治共识。4.连民心、惠民利，在主动社会服务中展现新作为</w:t>
            </w:r>
          </w:p>
        </w:tc>
      </w:tr>
      <w:tr>
        <w:tblPrEx>
          <w:tblCellMar>
            <w:top w:w="0" w:type="dxa"/>
            <w:left w:w="0" w:type="dxa"/>
            <w:bottom w:w="0" w:type="dxa"/>
            <w:right w:w="0" w:type="dxa"/>
          </w:tblCellMar>
        </w:tblPrEx>
        <w:trPr>
          <w:trHeight w:val="3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年</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度</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绩</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效</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二级指标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三级指标</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指标值（包含数字及文字描述）</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实际完成指标值（包含数字及文字描述）</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cs="宋体"/>
                <w:i w:val="0"/>
                <w:color w:val="000000" w:themeColor="text1"/>
                <w:kern w:val="0"/>
                <w:sz w:val="16"/>
                <w:szCs w:val="16"/>
                <w:highlight w:val="none"/>
                <w:u w:val="none"/>
                <w:lang w:val="en-US" w:eastAsia="zh-CN" w:bidi="ar"/>
                <w14:textFill>
                  <w14:solidFill>
                    <w14:schemeClr w14:val="tx1"/>
                  </w14:solidFill>
                </w14:textFill>
              </w:rPr>
              <w:t>单位</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自评得分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财政</w:t>
            </w:r>
            <w:r>
              <w:rPr>
                <w:rFonts w:hint="eastAsia" w:ascii="宋体" w:hAnsi="宋体" w:cs="宋体"/>
                <w:i w:val="0"/>
                <w:color w:val="000000" w:themeColor="text1"/>
                <w:kern w:val="0"/>
                <w:sz w:val="16"/>
                <w:szCs w:val="16"/>
                <w:highlight w:val="none"/>
                <w:u w:val="none"/>
                <w:lang w:val="en-US" w:eastAsia="zh-CN" w:bidi="ar"/>
                <w14:textFill>
                  <w14:solidFill>
                    <w14:schemeClr w14:val="tx1"/>
                  </w14:solidFill>
                </w14:textFill>
              </w:rPr>
              <w:t>单位</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科室复评得分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 xml:space="preserve"> 未完成原因及改进措施</w:t>
            </w:r>
          </w:p>
        </w:tc>
      </w:tr>
      <w:tr>
        <w:tblPrEx>
          <w:tblCellMar>
            <w:top w:w="0" w:type="dxa"/>
            <w:left w:w="0" w:type="dxa"/>
            <w:bottom w:w="0" w:type="dxa"/>
            <w:right w:w="0"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数量指标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 xml:space="preserve"> 指标1：完成调研课题数量</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3个</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3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 xml:space="preserve"> 指标2：完成社情民意信息数量</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16条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35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 xml:space="preserve"> 指标3：参加政治协商会议数量</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43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指标4：组织开展“三下乡”及乡村振兴社会服务活动场次</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12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指标5：社会服务受益人数</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≥1千人次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3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指标6：积极向上争取乡村振兴项目</w:t>
            </w:r>
          </w:p>
        </w:tc>
        <w:tc>
          <w:tcPr>
            <w:tcW w:w="27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对接争取帮扶资金、项目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13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指标7：开展主题教育活动场次</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1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指标8：开展会员培训人次</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≥50人次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质量指标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指标1：调研成果获领导批示</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 xml:space="preserve">指标2：社情民意信息采用数 </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≥6条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33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指标3：形成调研报告，提出对策建议数</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≥2篇调研报告，≥10条对策建议</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指标4：活动社会影响面大，省级以上媒体报道场次</w:t>
            </w:r>
          </w:p>
        </w:tc>
        <w:tc>
          <w:tcPr>
            <w:tcW w:w="27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13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指标5：培训合格率</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52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指标7：主题教育活动成果在省级以上媒体报道数</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时效指标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指标1：完成时限</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2022年12月前</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成本指标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成本指标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 xml:space="preserve">指标1：参政议政经费 </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≥8万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37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指标2：社会服务活动成本</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8000元/次，参与其他社会服务工作8000元</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指标3：组织开展主题教育活动成本</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15000元</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指标4：组织开展培训成本</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15000元</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43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经济效益</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指标1：厉行节约，提高财政资金使用效益</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不超预算执行</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55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社会效益</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指标1：促进广元经济社会发展作用</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为广元经济社会发展建言献策，助推各项工作高效、高速、有序推进。</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满意度</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满意度指标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指标1：党委、政府满意度</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2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指标2：会员、群众满意度</w:t>
            </w:r>
          </w:p>
        </w:tc>
        <w:tc>
          <w:tcPr>
            <w:tcW w:w="2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100%完成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themeColor="text1"/>
                <w:sz w:val="16"/>
                <w:szCs w:val="16"/>
                <w:highlight w:val="none"/>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81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部门（单位）自评结论</w:t>
            </w: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2022年， 我单位积极履职，强化管理，提升自身建设水平，很好的完成了年度工作目标。通过加强预算收支管理，不断完善内部管理制度，梳理内部管理流程，</w:t>
            </w:r>
            <w:r>
              <w:rPr>
                <w:rFonts w:hint="eastAsia" w:ascii="宋体" w:hAnsi="宋体" w:cs="宋体"/>
                <w:i w:val="0"/>
                <w:color w:val="000000" w:themeColor="text1"/>
                <w:kern w:val="0"/>
                <w:sz w:val="16"/>
                <w:szCs w:val="16"/>
                <w:highlight w:val="none"/>
                <w:u w:val="none"/>
                <w:lang w:val="en-US" w:eastAsia="zh-CN" w:bidi="ar"/>
                <w14:textFill>
                  <w14:solidFill>
                    <w14:schemeClr w14:val="tx1"/>
                  </w14:solidFill>
                </w14:textFill>
              </w:rPr>
              <w:t>单位</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整体支出管理水平得到提升。根据</w:t>
            </w:r>
            <w:r>
              <w:rPr>
                <w:rFonts w:hint="eastAsia" w:ascii="宋体" w:hAnsi="宋体" w:cs="宋体"/>
                <w:i w:val="0"/>
                <w:color w:val="000000" w:themeColor="text1"/>
                <w:kern w:val="0"/>
                <w:sz w:val="16"/>
                <w:szCs w:val="16"/>
                <w:highlight w:val="none"/>
                <w:u w:val="none"/>
                <w:lang w:val="en-US" w:eastAsia="zh-CN" w:bidi="ar"/>
                <w14:textFill>
                  <w14:solidFill>
                    <w14:schemeClr w14:val="tx1"/>
                  </w14:solidFill>
                </w14:textFill>
              </w:rPr>
              <w:t>单位</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整体支出绩效评价指标体系，我局2022年度评价得分为100分。</w:t>
            </w:r>
            <w:r>
              <w:rPr>
                <w:rFonts w:hint="eastAsia" w:ascii="宋体" w:hAnsi="宋体" w:cs="宋体"/>
                <w:i w:val="0"/>
                <w:color w:val="000000" w:themeColor="text1"/>
                <w:kern w:val="0"/>
                <w:sz w:val="16"/>
                <w:szCs w:val="16"/>
                <w:highlight w:val="none"/>
                <w:u w:val="none"/>
                <w:lang w:val="en-US" w:eastAsia="zh-CN" w:bidi="ar"/>
                <w14:textFill>
                  <w14:solidFill>
                    <w14:schemeClr w14:val="tx1"/>
                  </w14:solidFill>
                </w14:textFill>
              </w:rPr>
              <w:t>单位</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整体支出绩效情况为：1、预算编制情况得分90分，2、预算执行情况得分10分</w:t>
            </w:r>
          </w:p>
        </w:tc>
      </w:tr>
      <w:tr>
        <w:tblPrEx>
          <w:tblCellMar>
            <w:top w:w="0" w:type="dxa"/>
            <w:left w:w="0" w:type="dxa"/>
            <w:bottom w:w="0" w:type="dxa"/>
            <w:right w:w="0" w:type="dxa"/>
          </w:tblCellMar>
        </w:tblPrEx>
        <w:trPr>
          <w:trHeight w:val="10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部门（单位）自评存在问题</w:t>
            </w: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1.预算执行过程的管理和监督还需提升，预算管理制度还需完善，预算管理的质量水平还需提高。</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2.预算编制人员对本单位的财务运行状況还需提高。</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3.对本单位预算资金的实际使用情況的监督还要再加强。</w:t>
            </w:r>
          </w:p>
        </w:tc>
      </w:tr>
      <w:tr>
        <w:tblPrEx>
          <w:tblCellMar>
            <w:top w:w="0" w:type="dxa"/>
            <w:left w:w="0" w:type="dxa"/>
            <w:bottom w:w="0" w:type="dxa"/>
            <w:right w:w="0" w:type="dxa"/>
          </w:tblCellMar>
        </w:tblPrEx>
        <w:trPr>
          <w:trHeight w:val="105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部门（单位）自评改进措施</w:t>
            </w: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1.要强化对预算执行过程的管理和监督，预算管理制度加以完善，借助岗位培训学习等途径，强化预算人员的素质能力，以提高预算管理的质量水平。</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2.基于行政事业单位预算编制的重要性，要给予预算编人员充足的编制时间，使预算编制人员能够对本单位的财务运行状況加以总体把握，并做好预算编制参考数据及信息的收</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集整理工作，及时论证单位预算项目，在确保项目可行的基础上再制定出具体的编制计划，以提高预算编制的准确性和针对性。</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3.对本单位预算资金的实时使用情況加以监督，确保资金的流向及使用符合预算目标，对出现的偏差及时加以纠正。</w:t>
            </w:r>
          </w:p>
        </w:tc>
      </w:tr>
      <w:tr>
        <w:tblPrEx>
          <w:tblCellMar>
            <w:top w:w="0" w:type="dxa"/>
            <w:left w:w="0" w:type="dxa"/>
            <w:bottom w:w="0" w:type="dxa"/>
            <w:right w:w="0" w:type="dxa"/>
          </w:tblCellMar>
        </w:tblPrEx>
        <w:trPr>
          <w:trHeight w:val="9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3"/>
                <w:szCs w:val="13"/>
                <w:highlight w:val="none"/>
                <w:u w:val="none"/>
                <w:lang w:val="en-US" w:eastAsia="zh-CN" w:bidi="ar"/>
                <w14:textFill>
                  <w14:solidFill>
                    <w14:schemeClr w14:val="tx1"/>
                  </w14:solidFill>
                </w14:textFill>
              </w:rPr>
              <w:t>财政部门对口科室复评结论及整改要求</w:t>
            </w: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68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单位项目负责人：肖玉林</w:t>
            </w:r>
          </w:p>
        </w:tc>
        <w:tc>
          <w:tcPr>
            <w:tcW w:w="718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单位财务负责人：李晓霞</w:t>
            </w:r>
          </w:p>
        </w:tc>
      </w:tr>
      <w:tr>
        <w:tblPrEx>
          <w:tblCellMar>
            <w:top w:w="0" w:type="dxa"/>
            <w:left w:w="0" w:type="dxa"/>
            <w:bottom w:w="0" w:type="dxa"/>
            <w:right w:w="0" w:type="dxa"/>
          </w:tblCellMar>
        </w:tblPrEx>
        <w:trPr>
          <w:trHeight w:val="270" w:hRule="atLeast"/>
        </w:trPr>
        <w:tc>
          <w:tcPr>
            <w:tcW w:w="68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部门项目负责人：</w:t>
            </w:r>
          </w:p>
        </w:tc>
        <w:tc>
          <w:tcPr>
            <w:tcW w:w="718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部门财务负责人：</w:t>
            </w:r>
          </w:p>
        </w:tc>
      </w:tr>
      <w:tr>
        <w:tblPrEx>
          <w:tblCellMar>
            <w:top w:w="0" w:type="dxa"/>
            <w:left w:w="0" w:type="dxa"/>
            <w:bottom w:w="0" w:type="dxa"/>
            <w:right w:w="0" w:type="dxa"/>
          </w:tblCellMar>
        </w:tblPrEx>
        <w:trPr>
          <w:trHeight w:val="27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财政部门科室负责人：</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themeColor="text1"/>
                <w:sz w:val="16"/>
                <w:szCs w:val="16"/>
                <w:highlight w:val="none"/>
                <w:u w:val="none"/>
                <w14:textFill>
                  <w14:solidFill>
                    <w14:schemeClr w14:val="tx1"/>
                  </w14:solidFill>
                </w14:textFill>
              </w:rPr>
            </w:pPr>
          </w:p>
        </w:tc>
      </w:tr>
      <w:tr>
        <w:tblPrEx>
          <w:tblCellMar>
            <w:top w:w="0" w:type="dxa"/>
            <w:left w:w="0" w:type="dxa"/>
            <w:bottom w:w="0" w:type="dxa"/>
            <w:right w:w="0" w:type="dxa"/>
          </w:tblCellMar>
        </w:tblPrEx>
        <w:trPr>
          <w:gridAfter w:val="6"/>
          <w:wAfter w:w="9414" w:type="dxa"/>
          <w:trHeight w:val="945" w:hRule="atLeast"/>
        </w:trPr>
        <w:tc>
          <w:tcPr>
            <w:tcW w:w="4574" w:type="dxa"/>
            <w:gridSpan w:val="3"/>
            <w:tcBorders>
              <w:top w:val="single" w:color="000000"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themeColor="text1"/>
                <w:sz w:val="16"/>
                <w:szCs w:val="16"/>
                <w:highlight w:val="none"/>
                <w:u w:val="none"/>
                <w14:textFill>
                  <w14:solidFill>
                    <w14:schemeClr w14:val="tx1"/>
                  </w14:solidFill>
                </w14:textFill>
              </w:rPr>
            </w:pP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br w:type="page"/>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注：</w:t>
            </w:r>
            <w:r>
              <w:rPr>
                <w:rFonts w:hint="eastAsia" w:ascii="宋体" w:hAnsi="宋体" w:cs="宋体"/>
                <w:i w:val="0"/>
                <w:color w:val="000000" w:themeColor="text1"/>
                <w:kern w:val="0"/>
                <w:sz w:val="16"/>
                <w:szCs w:val="16"/>
                <w:highlight w:val="none"/>
                <w:u w:val="none"/>
                <w:lang w:val="en-US" w:eastAsia="zh-CN" w:bidi="ar"/>
                <w14:textFill>
                  <w14:solidFill>
                    <w14:schemeClr w14:val="tx1"/>
                  </w14:solidFill>
                </w14:textFill>
              </w:rPr>
              <w:t>单位</w:t>
            </w:r>
            <w:r>
              <w:rPr>
                <w:rFonts w:hint="eastAsia" w:ascii="宋体" w:hAnsi="宋体" w:eastAsia="宋体" w:cs="宋体"/>
                <w:i w:val="0"/>
                <w:color w:val="000000" w:themeColor="text1"/>
                <w:kern w:val="0"/>
                <w:sz w:val="16"/>
                <w:szCs w:val="16"/>
                <w:highlight w:val="none"/>
                <w:u w:val="none"/>
                <w:lang w:val="en-US" w:eastAsia="zh-CN" w:bidi="ar"/>
                <w14:textFill>
                  <w14:solidFill>
                    <w14:schemeClr w14:val="tx1"/>
                  </w14:solidFill>
                </w14:textFill>
              </w:rPr>
              <w:t>整体支出绩效目标自评表在年度预算执行完毕后填报。</w:t>
            </w:r>
          </w:p>
        </w:tc>
      </w:tr>
    </w:tbl>
    <w:tbl>
      <w:tblPr>
        <w:tblStyle w:val="19"/>
        <w:tblpPr w:leftFromText="180" w:rightFromText="180" w:vertAnchor="text" w:horzAnchor="page" w:tblpX="664" w:tblpY="1900"/>
        <w:tblOverlap w:val="never"/>
        <w:tblW w:w="15798" w:type="dxa"/>
        <w:tblInd w:w="0" w:type="dxa"/>
        <w:shd w:val="clear" w:color="auto" w:fill="auto"/>
        <w:tblLayout w:type="autofit"/>
        <w:tblCellMar>
          <w:top w:w="0" w:type="dxa"/>
          <w:left w:w="0" w:type="dxa"/>
          <w:bottom w:w="0" w:type="dxa"/>
          <w:right w:w="0" w:type="dxa"/>
        </w:tblCellMar>
      </w:tblPr>
      <w:tblGrid>
        <w:gridCol w:w="1032"/>
        <w:gridCol w:w="1749"/>
        <w:gridCol w:w="1421"/>
        <w:gridCol w:w="1465"/>
        <w:gridCol w:w="520"/>
        <w:gridCol w:w="1241"/>
        <w:gridCol w:w="570"/>
        <w:gridCol w:w="1088"/>
        <w:gridCol w:w="778"/>
        <w:gridCol w:w="957"/>
        <w:gridCol w:w="1166"/>
        <w:gridCol w:w="3811"/>
      </w:tblGrid>
      <w:tr>
        <w:tblPrEx>
          <w:tblCellMar>
            <w:top w:w="0" w:type="dxa"/>
            <w:left w:w="0" w:type="dxa"/>
            <w:bottom w:w="0" w:type="dxa"/>
            <w:right w:w="0" w:type="dxa"/>
          </w:tblCellMar>
        </w:tblPrEx>
        <w:trPr>
          <w:trHeight w:val="540" w:hRule="atLeast"/>
        </w:trPr>
        <w:tc>
          <w:tcPr>
            <w:tcW w:w="15798" w:type="dxa"/>
            <w:gridSpan w:val="12"/>
            <w:tcBorders>
              <w:top w:val="nil"/>
              <w:left w:val="nil"/>
              <w:bottom w:val="nil"/>
              <w:right w:val="nil"/>
            </w:tcBorders>
            <w:shd w:val="clear" w:color="auto" w:fill="auto"/>
            <w:tcMar>
              <w:top w:w="15" w:type="dxa"/>
              <w:left w:w="15" w:type="dxa"/>
              <w:right w:w="15" w:type="dxa"/>
            </w:tcMar>
            <w:vAlign w:val="center"/>
          </w:tcPr>
          <w:p>
            <w:pPr>
              <w:pStyle w:val="7"/>
              <w:jc w:val="left"/>
              <w:rPr>
                <w:rFonts w:hint="default" w:ascii="方正小标宋简体" w:hAnsi="方正小标宋简体" w:eastAsia="方正小标宋简体" w:cs="方正小标宋简体"/>
                <w:i w:val="0"/>
                <w:color w:val="000000"/>
                <w:kern w:val="0"/>
                <w:sz w:val="44"/>
                <w:szCs w:val="44"/>
                <w:u w:val="none"/>
                <w:lang w:val="en-US" w:eastAsia="zh-CN" w:bidi="ar"/>
              </w:rPr>
            </w:pPr>
            <w:r>
              <w:rPr>
                <w:rFonts w:hint="eastAsia" w:ascii="方正小标宋简体" w:hAnsi="方正小标宋简体" w:eastAsia="方正小标宋简体" w:cs="方正小标宋简体"/>
                <w:i w:val="0"/>
                <w:color w:val="000000"/>
                <w:kern w:val="0"/>
                <w:sz w:val="44"/>
                <w:szCs w:val="44"/>
                <w:u w:val="none"/>
                <w:lang w:val="en-US" w:eastAsia="zh-CN" w:bidi="ar"/>
              </w:rPr>
              <w:t>附件2：</w:t>
            </w:r>
          </w:p>
          <w:p>
            <w:pPr>
              <w:pStyle w:val="7"/>
              <w:jc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单位</w:t>
            </w:r>
            <w:r>
              <w:rPr>
                <w:rFonts w:hint="default" w:ascii="方正小标宋简体" w:hAnsi="方正小标宋简体" w:eastAsia="方正小标宋简体" w:cs="方正小标宋简体"/>
                <w:i w:val="0"/>
                <w:color w:val="000000"/>
                <w:kern w:val="0"/>
                <w:sz w:val="44"/>
                <w:szCs w:val="44"/>
                <w:u w:val="none"/>
                <w:lang w:val="en-US" w:eastAsia="zh-CN" w:bidi="ar"/>
              </w:rPr>
              <w:t>预算、专项资金预算项目支出绩效目标自评表（2022年度）</w:t>
            </w:r>
          </w:p>
        </w:tc>
      </w:tr>
      <w:tr>
        <w:tblPrEx>
          <w:tblCellMar>
            <w:top w:w="0" w:type="dxa"/>
            <w:left w:w="0" w:type="dxa"/>
            <w:bottom w:w="0" w:type="dxa"/>
            <w:right w:w="0" w:type="dxa"/>
          </w:tblCellMar>
        </w:tblPrEx>
        <w:trPr>
          <w:trHeight w:val="660" w:hRule="atLeast"/>
        </w:trPr>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30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民建党派及直属支部专项经费</w:t>
            </w:r>
          </w:p>
        </w:tc>
      </w:tr>
      <w:tr>
        <w:tblPrEx>
          <w:tblCellMar>
            <w:top w:w="0" w:type="dxa"/>
            <w:left w:w="0" w:type="dxa"/>
            <w:bottom w:w="0" w:type="dxa"/>
            <w:right w:w="0" w:type="dxa"/>
          </w:tblCellMar>
        </w:tblPrEx>
        <w:trPr>
          <w:trHeight w:val="450" w:hRule="atLeast"/>
        </w:trPr>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主管部门（盖章）</w:t>
            </w:r>
          </w:p>
        </w:tc>
        <w:tc>
          <w:tcPr>
            <w:tcW w:w="521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67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中国民主建国会广元市委员会</w:t>
            </w:r>
          </w:p>
        </w:tc>
      </w:tr>
      <w:tr>
        <w:tblPrEx>
          <w:tblCellMar>
            <w:top w:w="0" w:type="dxa"/>
            <w:left w:w="0" w:type="dxa"/>
            <w:bottom w:w="0" w:type="dxa"/>
            <w:right w:w="0" w:type="dxa"/>
          </w:tblCellMar>
        </w:tblPrEx>
        <w:trPr>
          <w:trHeight w:val="350" w:hRule="atLeast"/>
        </w:trPr>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项目基本情况</w:t>
            </w:r>
          </w:p>
        </w:tc>
        <w:tc>
          <w:tcPr>
            <w:tcW w:w="17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1.项目年度目标完成情况</w:t>
            </w:r>
          </w:p>
        </w:tc>
        <w:tc>
          <w:tcPr>
            <w:tcW w:w="521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项目年度目标</w:t>
            </w:r>
          </w:p>
        </w:tc>
        <w:tc>
          <w:tcPr>
            <w:tcW w:w="78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60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18"/>
                <w:szCs w:val="18"/>
                <w:u w:val="none"/>
              </w:rPr>
            </w:pPr>
          </w:p>
        </w:tc>
        <w:tc>
          <w:tcPr>
            <w:tcW w:w="17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18"/>
                <w:szCs w:val="18"/>
                <w:u w:val="none"/>
              </w:rPr>
            </w:pPr>
          </w:p>
        </w:tc>
        <w:tc>
          <w:tcPr>
            <w:tcW w:w="521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开展参政议政、民主监督、开展社会服务工作、开展政治建设工作、开展理论研究等。</w:t>
            </w:r>
          </w:p>
        </w:tc>
        <w:tc>
          <w:tcPr>
            <w:tcW w:w="78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开展参政议政、民主监督、开展社会服务工作、开展政治建设工作、开展理论研究等。</w:t>
            </w:r>
          </w:p>
        </w:tc>
      </w:tr>
      <w:tr>
        <w:tblPrEx>
          <w:tblCellMar>
            <w:top w:w="0" w:type="dxa"/>
            <w:left w:w="0" w:type="dxa"/>
            <w:bottom w:w="0" w:type="dxa"/>
            <w:right w:w="0" w:type="dxa"/>
          </w:tblCellMar>
        </w:tblPrEx>
        <w:trPr>
          <w:trHeight w:val="104"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2.项目实施内容及过程概述</w:t>
            </w:r>
          </w:p>
        </w:tc>
        <w:tc>
          <w:tcPr>
            <w:tcW w:w="130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40" w:hRule="atLeast"/>
        </w:trPr>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预算执行情况（10分）</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年度预算数（万元）</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预算执行数</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预算执行率</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cs="宋体"/>
                <w:b/>
                <w:i w:val="0"/>
                <w:color w:val="000000"/>
                <w:kern w:val="0"/>
                <w:sz w:val="18"/>
                <w:szCs w:val="18"/>
                <w:u w:val="none"/>
                <w:lang w:val="en-US" w:eastAsia="zh-CN" w:bidi="ar"/>
              </w:rPr>
              <w:t>单位</w:t>
            </w:r>
            <w:r>
              <w:rPr>
                <w:rFonts w:hint="eastAsia" w:ascii="宋体" w:hAnsi="宋体" w:eastAsia="宋体" w:cs="宋体"/>
                <w:b/>
                <w:i w:val="0"/>
                <w:color w:val="000000"/>
                <w:kern w:val="0"/>
                <w:sz w:val="18"/>
                <w:szCs w:val="18"/>
                <w:u w:val="none"/>
                <w:lang w:val="en-US" w:eastAsia="zh-CN" w:bidi="ar"/>
              </w:rPr>
              <w:t>自评得分</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财政部门科室复评得分</w:t>
            </w: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48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总额</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48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其中：财政资金</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财政专户管理资金</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单位资金</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其他资金</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20" w:hRule="atLeast"/>
        </w:trPr>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绩效指标（90分）</w:t>
            </w: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指标性质</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度量单位</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完成值</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cs="宋体"/>
                <w:b/>
                <w:i w:val="0"/>
                <w:color w:val="000000"/>
                <w:kern w:val="0"/>
                <w:sz w:val="18"/>
                <w:szCs w:val="18"/>
                <w:u w:val="none"/>
                <w:lang w:val="en-US" w:eastAsia="zh-CN" w:bidi="ar"/>
              </w:rPr>
              <w:t>单位</w:t>
            </w:r>
            <w:r>
              <w:rPr>
                <w:rFonts w:hint="eastAsia" w:ascii="宋体" w:hAnsi="宋体" w:eastAsia="宋体" w:cs="宋体"/>
                <w:b/>
                <w:i w:val="0"/>
                <w:color w:val="000000"/>
                <w:kern w:val="0"/>
                <w:sz w:val="18"/>
                <w:szCs w:val="18"/>
                <w:u w:val="none"/>
                <w:lang w:val="en-US" w:eastAsia="zh-CN" w:bidi="ar"/>
              </w:rPr>
              <w:t>自评得分</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财政部门科室复评得分</w:t>
            </w: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72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参会人数平均费用</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元/人·次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CellMar>
            <w:top w:w="0" w:type="dxa"/>
            <w:left w:w="0" w:type="dxa"/>
            <w:bottom w:w="0" w:type="dxa"/>
            <w:right w:w="0" w:type="dxa"/>
          </w:tblCellMar>
        </w:tblPrEx>
        <w:trPr>
          <w:trHeight w:val="72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费用控制数量</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元/人·次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CellMar>
            <w:top w:w="0" w:type="dxa"/>
            <w:left w:w="0" w:type="dxa"/>
            <w:bottom w:w="0" w:type="dxa"/>
            <w:right w:w="0" w:type="dxa"/>
          </w:tblCellMar>
        </w:tblPrEx>
        <w:trPr>
          <w:trHeight w:val="72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项目推介走访企业会员</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CellMar>
            <w:top w:w="0" w:type="dxa"/>
            <w:left w:w="0" w:type="dxa"/>
            <w:bottom w:w="0" w:type="dxa"/>
            <w:right w:w="0" w:type="dxa"/>
          </w:tblCellMar>
        </w:tblPrEx>
        <w:trPr>
          <w:trHeight w:val="72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媒体报道次数</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CellMar>
            <w:top w:w="0" w:type="dxa"/>
            <w:left w:w="0" w:type="dxa"/>
            <w:bottom w:w="0" w:type="dxa"/>
            <w:right w:w="0" w:type="dxa"/>
          </w:tblCellMar>
        </w:tblPrEx>
        <w:trPr>
          <w:trHeight w:val="72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研究课题按时结课率</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CellMar>
            <w:top w:w="0" w:type="dxa"/>
            <w:left w:w="0" w:type="dxa"/>
            <w:bottom w:w="0" w:type="dxa"/>
            <w:right w:w="0" w:type="dxa"/>
          </w:tblCellMar>
        </w:tblPrEx>
        <w:trPr>
          <w:trHeight w:val="72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提高参政议政影响力</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CellMar>
            <w:top w:w="0" w:type="dxa"/>
            <w:left w:w="0" w:type="dxa"/>
            <w:bottom w:w="0" w:type="dxa"/>
            <w:right w:w="0" w:type="dxa"/>
          </w:tblCellMar>
        </w:tblPrEx>
        <w:trPr>
          <w:trHeight w:val="27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可持续发展指标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持续发展的年限</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5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满意度指标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社会服务对象满意度</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50" w:hRule="atLeast"/>
        </w:trPr>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满意度指标</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参会人员满意度</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70" w:hRule="atLeast"/>
        </w:trPr>
        <w:tc>
          <w:tcPr>
            <w:tcW w:w="908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合计</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1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部门（单位）自评结论</w:t>
            </w:r>
          </w:p>
        </w:tc>
        <w:tc>
          <w:tcPr>
            <w:tcW w:w="1476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结合专项项目自身特点，我单位严格按照年初预算在规定的时间节点，结合工作实际需要合理安排和使用该项目资金，既保证了资金科学合理使用，同时又控制住了不必要的经费支出，并从产出、效益、满意度三个方面进行支出绩效评价。专项项目的绩效目标设置是科学、合理的，各项工作推进有序、落实有力、行动有效，管理制度规范完善，具体措施可行，很好地完成了各项绩效指标，促进了</w:t>
            </w:r>
            <w:r>
              <w:rPr>
                <w:rFonts w:hint="eastAsia" w:ascii="宋体" w:hAnsi="宋体" w:cs="宋体"/>
                <w:i w:val="0"/>
                <w:color w:val="000000"/>
                <w:kern w:val="0"/>
                <w:sz w:val="16"/>
                <w:szCs w:val="16"/>
                <w:u w:val="none"/>
                <w:lang w:val="en-US" w:eastAsia="zh-CN" w:bidi="ar"/>
              </w:rPr>
              <w:t>单位</w:t>
            </w:r>
            <w:r>
              <w:rPr>
                <w:rFonts w:hint="eastAsia" w:ascii="宋体" w:hAnsi="宋体" w:eastAsia="宋体" w:cs="宋体"/>
                <w:i w:val="0"/>
                <w:color w:val="000000"/>
                <w:kern w:val="0"/>
                <w:sz w:val="16"/>
                <w:szCs w:val="16"/>
                <w:u w:val="none"/>
                <w:lang w:val="en-US" w:eastAsia="zh-CN" w:bidi="ar"/>
              </w:rPr>
              <w:t>履职绩效目标的实现，具有较强的可持续性，总体评价等级为优。</w:t>
            </w:r>
          </w:p>
        </w:tc>
      </w:tr>
      <w:tr>
        <w:tblPrEx>
          <w:tblCellMar>
            <w:top w:w="0" w:type="dxa"/>
            <w:left w:w="0" w:type="dxa"/>
            <w:bottom w:w="0" w:type="dxa"/>
            <w:right w:w="0" w:type="dxa"/>
          </w:tblCellMar>
        </w:tblPrEx>
        <w:trPr>
          <w:trHeight w:val="8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部门（单位）自评存在问题</w:t>
            </w:r>
          </w:p>
        </w:tc>
        <w:tc>
          <w:tcPr>
            <w:tcW w:w="1476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项目经费保障不足，需向财政申请增加。</w:t>
            </w:r>
          </w:p>
        </w:tc>
      </w:tr>
      <w:tr>
        <w:tblPrEx>
          <w:shd w:val="clear" w:color="auto" w:fill="auto"/>
          <w:tblCellMar>
            <w:top w:w="0" w:type="dxa"/>
            <w:left w:w="0" w:type="dxa"/>
            <w:bottom w:w="0" w:type="dxa"/>
            <w:right w:w="0" w:type="dxa"/>
          </w:tblCellMar>
        </w:tblPrEx>
        <w:trPr>
          <w:trHeight w:val="8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部门（单位）自评改进措施</w:t>
            </w:r>
          </w:p>
        </w:tc>
        <w:tc>
          <w:tcPr>
            <w:tcW w:w="1476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提前谋划，提前报告，合理编报预算。</w:t>
            </w:r>
          </w:p>
        </w:tc>
      </w:tr>
      <w:tr>
        <w:tblPrEx>
          <w:shd w:val="clear" w:color="auto" w:fill="auto"/>
          <w:tblCellMar>
            <w:top w:w="0" w:type="dxa"/>
            <w:left w:w="0" w:type="dxa"/>
            <w:bottom w:w="0" w:type="dxa"/>
            <w:right w:w="0" w:type="dxa"/>
          </w:tblCellMar>
        </w:tblPrEx>
        <w:trPr>
          <w:trHeight w:val="8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财政部门对口科室复评结论及整改要求</w:t>
            </w:r>
          </w:p>
        </w:tc>
        <w:tc>
          <w:tcPr>
            <w:tcW w:w="1476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tblCellMar>
            <w:top w:w="0" w:type="dxa"/>
            <w:left w:w="0" w:type="dxa"/>
            <w:bottom w:w="0" w:type="dxa"/>
            <w:right w:w="0" w:type="dxa"/>
          </w:tblCellMar>
        </w:tblPrEx>
        <w:trPr>
          <w:trHeight w:val="270" w:hRule="atLeast"/>
        </w:trPr>
        <w:tc>
          <w:tcPr>
            <w:tcW w:w="618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单位项目负责人：肖玉林</w:t>
            </w:r>
          </w:p>
        </w:tc>
        <w:tc>
          <w:tcPr>
            <w:tcW w:w="961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单位财务负责人：李晓霞</w:t>
            </w:r>
          </w:p>
        </w:tc>
      </w:tr>
      <w:tr>
        <w:tblPrEx>
          <w:tblCellMar>
            <w:top w:w="0" w:type="dxa"/>
            <w:left w:w="0" w:type="dxa"/>
            <w:bottom w:w="0" w:type="dxa"/>
            <w:right w:w="0" w:type="dxa"/>
          </w:tblCellMar>
        </w:tblPrEx>
        <w:trPr>
          <w:trHeight w:val="270" w:hRule="atLeast"/>
        </w:trPr>
        <w:tc>
          <w:tcPr>
            <w:tcW w:w="618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部门项目负责人：</w:t>
            </w:r>
          </w:p>
        </w:tc>
        <w:tc>
          <w:tcPr>
            <w:tcW w:w="961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部门财务负责人：</w:t>
            </w:r>
          </w:p>
        </w:tc>
      </w:tr>
      <w:tr>
        <w:tblPrEx>
          <w:tblCellMar>
            <w:top w:w="0" w:type="dxa"/>
            <w:left w:w="0" w:type="dxa"/>
            <w:bottom w:w="0" w:type="dxa"/>
            <w:right w:w="0" w:type="dxa"/>
          </w:tblCellMar>
        </w:tblPrEx>
        <w:trPr>
          <w:trHeight w:val="270" w:hRule="atLeast"/>
        </w:trPr>
        <w:tc>
          <w:tcPr>
            <w:tcW w:w="15798"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财政部门科室负责人：</w:t>
            </w:r>
          </w:p>
        </w:tc>
      </w:tr>
    </w:tbl>
    <w:p>
      <w:pPr>
        <w:rPr>
          <w:rStyle w:val="23"/>
          <w:rFonts w:ascii="黑体" w:hAnsi="黑体" w:eastAsia="黑体"/>
          <w:b w:val="0"/>
          <w:color w:val="auto"/>
          <w:highlight w:val="none"/>
        </w:rPr>
        <w:sectPr>
          <w:footerReference r:id="rId8" w:type="first"/>
          <w:footerReference r:id="rId7" w:type="default"/>
          <w:pgSz w:w="16838" w:h="11906" w:orient="landscape"/>
          <w:pgMar w:top="1800" w:right="1440" w:bottom="1800" w:left="1440" w:header="851" w:footer="992" w:gutter="0"/>
          <w:pgNumType w:fmt="decimal"/>
          <w:cols w:space="425" w:num="1"/>
          <w:titlePg/>
          <w:docGrid w:type="lines" w:linePitch="312" w:charSpace="0"/>
        </w:sectPr>
      </w:pPr>
    </w:p>
    <w:p>
      <w:pPr>
        <w:pStyle w:val="2"/>
      </w:pPr>
    </w:p>
    <w:p>
      <w:pPr>
        <w:spacing w:line="600" w:lineRule="exact"/>
        <w:jc w:val="center"/>
        <w:outlineLvl w:val="0"/>
        <w:rPr>
          <w:rStyle w:val="23"/>
          <w:rFonts w:hint="eastAsia" w:ascii="黑体" w:hAnsi="黑体" w:eastAsia="黑体"/>
          <w:b w:val="0"/>
          <w:color w:val="auto"/>
          <w:highlight w:val="none"/>
        </w:rPr>
      </w:pPr>
      <w:bookmarkStart w:id="77" w:name="_Toc15396618"/>
      <w:bookmarkStart w:id="78" w:name="_Toc27558"/>
      <w:r>
        <w:rPr>
          <w:rFonts w:hint="eastAsia" w:ascii="黑体" w:hAnsi="黑体" w:eastAsia="黑体"/>
          <w:color w:val="auto"/>
          <w:sz w:val="44"/>
          <w:szCs w:val="44"/>
          <w:highlight w:val="none"/>
        </w:rPr>
        <w:t>第</w:t>
      </w:r>
      <w:r>
        <w:rPr>
          <w:rStyle w:val="23"/>
          <w:rFonts w:hint="eastAsia" w:ascii="黑体" w:hAnsi="黑体" w:eastAsia="黑体"/>
          <w:b w:val="0"/>
          <w:color w:val="auto"/>
          <w:highlight w:val="none"/>
        </w:rPr>
        <w:t>五部分 附表</w:t>
      </w:r>
      <w:bookmarkEnd w:id="73"/>
      <w:bookmarkEnd w:id="77"/>
      <w:bookmarkEnd w:id="78"/>
      <w:bookmarkStart w:id="79" w:name="_Toc15396619"/>
    </w:p>
    <w:p>
      <w:pPr>
        <w:spacing w:line="600" w:lineRule="exact"/>
        <w:jc w:val="left"/>
        <w:outlineLvl w:val="1"/>
        <w:rPr>
          <w:rFonts w:ascii="仿宋" w:hAnsi="仿宋" w:eastAsia="仿宋"/>
          <w:color w:val="auto"/>
          <w:sz w:val="32"/>
          <w:szCs w:val="32"/>
          <w:highlight w:val="none"/>
        </w:rPr>
      </w:pPr>
      <w:bookmarkStart w:id="80" w:name="_Toc1325"/>
      <w:r>
        <w:rPr>
          <w:rFonts w:hint="eastAsia" w:ascii="仿宋" w:hAnsi="仿宋" w:eastAsia="仿宋"/>
          <w:b w:val="0"/>
          <w:color w:val="auto"/>
          <w:sz w:val="32"/>
          <w:szCs w:val="32"/>
          <w:highlight w:val="none"/>
        </w:rPr>
        <w:t>一、收</w:t>
      </w:r>
      <w:r>
        <w:rPr>
          <w:rStyle w:val="24"/>
          <w:rFonts w:hint="eastAsia" w:ascii="仿宋" w:hAnsi="仿宋" w:eastAsia="仿宋"/>
          <w:b w:val="0"/>
          <w:bCs w:val="0"/>
          <w:color w:val="auto"/>
          <w:sz w:val="32"/>
          <w:szCs w:val="32"/>
          <w:highlight w:val="none"/>
        </w:rPr>
        <w:t>入支出决算总表</w:t>
      </w:r>
      <w:bookmarkEnd w:id="79"/>
      <w:bookmarkEnd w:id="80"/>
    </w:p>
    <w:p>
      <w:pPr>
        <w:pStyle w:val="4"/>
        <w:rPr>
          <w:rFonts w:ascii="仿宋" w:hAnsi="仿宋" w:eastAsia="仿宋"/>
          <w:color w:val="auto"/>
          <w:highlight w:val="none"/>
        </w:rPr>
      </w:pPr>
      <w:bookmarkStart w:id="81" w:name="_Toc27404"/>
      <w:bookmarkStart w:id="82" w:name="_Toc15396620"/>
      <w:r>
        <w:rPr>
          <w:rFonts w:hint="eastAsia" w:ascii="仿宋" w:hAnsi="仿宋" w:eastAsia="仿宋"/>
          <w:b w:val="0"/>
          <w:color w:val="auto"/>
          <w:highlight w:val="none"/>
        </w:rPr>
        <w:t>二、收</w:t>
      </w:r>
      <w:r>
        <w:rPr>
          <w:rStyle w:val="24"/>
          <w:rFonts w:hint="eastAsia" w:ascii="仿宋" w:hAnsi="仿宋" w:eastAsia="仿宋"/>
          <w:b w:val="0"/>
          <w:bCs w:val="0"/>
          <w:color w:val="auto"/>
          <w:highlight w:val="none"/>
        </w:rPr>
        <w:t>入决算表</w:t>
      </w:r>
      <w:bookmarkEnd w:id="81"/>
      <w:bookmarkEnd w:id="82"/>
    </w:p>
    <w:p>
      <w:pPr>
        <w:pStyle w:val="4"/>
        <w:rPr>
          <w:rFonts w:ascii="仿宋" w:hAnsi="仿宋" w:eastAsia="仿宋"/>
          <w:color w:val="auto"/>
          <w:highlight w:val="none"/>
        </w:rPr>
      </w:pPr>
      <w:bookmarkStart w:id="83" w:name="_Toc31876"/>
      <w:bookmarkStart w:id="84" w:name="_Toc15396621"/>
      <w:r>
        <w:rPr>
          <w:rStyle w:val="24"/>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4"/>
          <w:rFonts w:hint="eastAsia" w:ascii="仿宋" w:hAnsi="仿宋" w:eastAsia="仿宋"/>
          <w:b w:val="0"/>
          <w:bCs w:val="0"/>
          <w:color w:val="auto"/>
          <w:highlight w:val="none"/>
        </w:rPr>
        <w:t>出决算表</w:t>
      </w:r>
      <w:bookmarkEnd w:id="83"/>
      <w:bookmarkEnd w:id="84"/>
    </w:p>
    <w:p>
      <w:pPr>
        <w:pStyle w:val="4"/>
        <w:rPr>
          <w:rFonts w:ascii="仿宋" w:hAnsi="仿宋" w:eastAsia="仿宋"/>
          <w:b w:val="0"/>
          <w:color w:val="auto"/>
          <w:highlight w:val="none"/>
        </w:rPr>
      </w:pPr>
      <w:bookmarkStart w:id="85" w:name="_Toc15396622"/>
      <w:bookmarkStart w:id="86" w:name="_Toc12176"/>
      <w:r>
        <w:rPr>
          <w:rStyle w:val="24"/>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4"/>
          <w:rFonts w:hint="eastAsia" w:ascii="仿宋" w:hAnsi="仿宋" w:eastAsia="仿宋"/>
          <w:b w:val="0"/>
          <w:bCs w:val="0"/>
          <w:color w:val="auto"/>
          <w:highlight w:val="none"/>
        </w:rPr>
        <w:t>政拨款收入支出决算总表</w:t>
      </w:r>
      <w:bookmarkEnd w:id="85"/>
      <w:bookmarkEnd w:id="86"/>
    </w:p>
    <w:p>
      <w:pPr>
        <w:pStyle w:val="4"/>
        <w:rPr>
          <w:rStyle w:val="24"/>
          <w:rFonts w:ascii="仿宋" w:hAnsi="仿宋" w:eastAsia="仿宋"/>
          <w:b w:val="0"/>
          <w:bCs w:val="0"/>
          <w:color w:val="auto"/>
          <w:highlight w:val="none"/>
        </w:rPr>
      </w:pPr>
      <w:bookmarkStart w:id="87" w:name="_Toc3587"/>
      <w:bookmarkStart w:id="88" w:name="_Toc15396623"/>
      <w:r>
        <w:rPr>
          <w:rStyle w:val="24"/>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4"/>
          <w:rFonts w:hint="eastAsia" w:ascii="仿宋" w:hAnsi="仿宋" w:eastAsia="仿宋"/>
          <w:b w:val="0"/>
          <w:bCs w:val="0"/>
          <w:color w:val="auto"/>
          <w:highlight w:val="none"/>
        </w:rPr>
        <w:t>政拨款支出决算明细表</w:t>
      </w:r>
      <w:bookmarkEnd w:id="87"/>
      <w:bookmarkEnd w:id="88"/>
      <w:bookmarkStart w:id="89" w:name="_Toc15396624"/>
    </w:p>
    <w:p>
      <w:pPr>
        <w:pStyle w:val="4"/>
        <w:rPr>
          <w:rFonts w:ascii="仿宋" w:hAnsi="仿宋" w:eastAsia="仿宋"/>
          <w:color w:val="auto"/>
          <w:highlight w:val="none"/>
        </w:rPr>
      </w:pPr>
      <w:bookmarkStart w:id="90" w:name="_Toc16917"/>
      <w:r>
        <w:rPr>
          <w:rStyle w:val="24"/>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4"/>
          <w:rFonts w:hint="eastAsia" w:ascii="仿宋" w:hAnsi="仿宋" w:eastAsia="仿宋"/>
          <w:b w:val="0"/>
          <w:bCs w:val="0"/>
          <w:color w:val="auto"/>
          <w:highlight w:val="none"/>
        </w:rPr>
        <w:t>般公共预算财政拨款支出决算表</w:t>
      </w:r>
      <w:bookmarkEnd w:id="89"/>
      <w:bookmarkEnd w:id="90"/>
    </w:p>
    <w:p>
      <w:pPr>
        <w:pStyle w:val="4"/>
        <w:rPr>
          <w:rFonts w:ascii="仿宋" w:hAnsi="仿宋" w:eastAsia="仿宋"/>
          <w:color w:val="auto"/>
          <w:highlight w:val="none"/>
        </w:rPr>
      </w:pPr>
      <w:bookmarkStart w:id="91" w:name="_Toc21780"/>
      <w:bookmarkStart w:id="92" w:name="_Toc15396625"/>
      <w:r>
        <w:rPr>
          <w:rStyle w:val="24"/>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4"/>
          <w:rFonts w:hint="eastAsia" w:ascii="仿宋" w:hAnsi="仿宋" w:eastAsia="仿宋"/>
          <w:b w:val="0"/>
          <w:bCs w:val="0"/>
          <w:color w:val="auto"/>
          <w:highlight w:val="none"/>
        </w:rPr>
        <w:t>般公共预算财政拨款支出决算明细表</w:t>
      </w:r>
      <w:bookmarkEnd w:id="91"/>
      <w:bookmarkEnd w:id="92"/>
    </w:p>
    <w:p>
      <w:pPr>
        <w:pStyle w:val="4"/>
        <w:rPr>
          <w:rFonts w:ascii="仿宋" w:hAnsi="仿宋" w:eastAsia="仿宋"/>
          <w:color w:val="auto"/>
          <w:highlight w:val="none"/>
        </w:rPr>
      </w:pPr>
      <w:bookmarkStart w:id="93" w:name="_Toc30243"/>
      <w:bookmarkStart w:id="94" w:name="_Toc15396626"/>
      <w:r>
        <w:rPr>
          <w:rStyle w:val="24"/>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4"/>
          <w:rFonts w:hint="eastAsia" w:ascii="仿宋" w:hAnsi="仿宋" w:eastAsia="仿宋"/>
          <w:b w:val="0"/>
          <w:bCs w:val="0"/>
          <w:color w:val="auto"/>
          <w:highlight w:val="none"/>
        </w:rPr>
        <w:t>般公共预算财政拨款基本支出决算表</w:t>
      </w:r>
      <w:bookmarkEnd w:id="93"/>
      <w:bookmarkEnd w:id="94"/>
    </w:p>
    <w:p>
      <w:pPr>
        <w:pStyle w:val="4"/>
        <w:rPr>
          <w:rFonts w:ascii="仿宋" w:hAnsi="仿宋" w:eastAsia="仿宋"/>
          <w:color w:val="FFFFFF" w:themeColor="background1"/>
          <w:highlight w:val="none"/>
          <w14:textFill>
            <w14:solidFill>
              <w14:schemeClr w14:val="bg1"/>
            </w14:solidFill>
          </w14:textFill>
        </w:rPr>
      </w:pPr>
      <w:bookmarkStart w:id="95" w:name="_Toc15396627"/>
      <w:bookmarkStart w:id="96" w:name="_Toc3520"/>
      <w:r>
        <w:rPr>
          <w:rStyle w:val="24"/>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4"/>
          <w:rFonts w:hint="eastAsia" w:ascii="仿宋" w:hAnsi="仿宋" w:eastAsia="仿宋"/>
          <w:b w:val="0"/>
          <w:bCs w:val="0"/>
          <w:color w:val="auto"/>
          <w:highlight w:val="none"/>
        </w:rPr>
        <w:t>般公共预算财政拨款项目支出决算表</w:t>
      </w:r>
      <w:bookmarkEnd w:id="95"/>
      <w:bookmarkEnd w:id="96"/>
    </w:p>
    <w:p>
      <w:pPr>
        <w:pStyle w:val="4"/>
        <w:rPr>
          <w:rFonts w:ascii="仿宋" w:hAnsi="仿宋" w:eastAsia="仿宋"/>
          <w:color w:val="auto"/>
          <w:highlight w:val="none"/>
        </w:rPr>
      </w:pPr>
      <w:bookmarkStart w:id="97" w:name="_Toc15396628"/>
      <w:bookmarkStart w:id="98" w:name="_Toc31681"/>
      <w:r>
        <w:rPr>
          <w:rStyle w:val="24"/>
          <w:rFonts w:hint="eastAsia" w:ascii="仿宋" w:hAnsi="仿宋" w:eastAsia="仿宋"/>
          <w:b w:val="0"/>
          <w:bCs w:val="0"/>
          <w:color w:val="auto"/>
          <w:highlight w:val="none"/>
        </w:rPr>
        <w:t>十、</w:t>
      </w:r>
      <w:bookmarkEnd w:id="97"/>
      <w:r>
        <w:rPr>
          <w:rFonts w:hint="eastAsia" w:ascii="仿宋" w:hAnsi="仿宋" w:eastAsia="仿宋"/>
          <w:b w:val="0"/>
          <w:color w:val="auto"/>
          <w:highlight w:val="none"/>
        </w:rPr>
        <w:t>政</w:t>
      </w:r>
      <w:r>
        <w:rPr>
          <w:rStyle w:val="24"/>
          <w:rFonts w:hint="eastAsia" w:ascii="仿宋" w:hAnsi="仿宋" w:eastAsia="仿宋"/>
          <w:b w:val="0"/>
          <w:bCs w:val="0"/>
          <w:color w:val="auto"/>
          <w:highlight w:val="none"/>
        </w:rPr>
        <w:t>府性基金预算财政拨款收入支出决算表</w:t>
      </w:r>
      <w:bookmarkEnd w:id="98"/>
    </w:p>
    <w:p>
      <w:pPr>
        <w:pStyle w:val="4"/>
        <w:rPr>
          <w:rFonts w:ascii="仿宋" w:hAnsi="仿宋" w:eastAsia="仿宋"/>
          <w:color w:val="auto"/>
          <w:highlight w:val="none"/>
        </w:rPr>
      </w:pPr>
      <w:bookmarkStart w:id="99" w:name="_Toc15396629"/>
      <w:bookmarkStart w:id="100" w:name="_Toc25505"/>
      <w:r>
        <w:rPr>
          <w:rStyle w:val="24"/>
          <w:rFonts w:hint="eastAsia" w:ascii="仿宋" w:hAnsi="仿宋" w:eastAsia="仿宋"/>
          <w:b w:val="0"/>
          <w:bCs w:val="0"/>
          <w:color w:val="auto"/>
          <w:highlight w:val="none"/>
        </w:rPr>
        <w:t>十一、</w:t>
      </w:r>
      <w:bookmarkEnd w:id="99"/>
      <w:r>
        <w:rPr>
          <w:rFonts w:hint="eastAsia" w:ascii="仿宋" w:hAnsi="仿宋" w:eastAsia="仿宋"/>
          <w:b w:val="0"/>
          <w:color w:val="auto"/>
          <w:highlight w:val="none"/>
        </w:rPr>
        <w:t>国</w:t>
      </w:r>
      <w:r>
        <w:rPr>
          <w:rStyle w:val="24"/>
          <w:rFonts w:hint="eastAsia" w:ascii="仿宋" w:hAnsi="仿宋" w:eastAsia="仿宋"/>
          <w:b w:val="0"/>
          <w:bCs w:val="0"/>
          <w:color w:val="auto"/>
          <w:highlight w:val="none"/>
        </w:rPr>
        <w:t>有资本经营预算</w:t>
      </w:r>
      <w:r>
        <w:rPr>
          <w:rStyle w:val="24"/>
          <w:rFonts w:hint="eastAsia" w:ascii="仿宋" w:hAnsi="仿宋" w:eastAsia="仿宋"/>
          <w:b w:val="0"/>
          <w:bCs w:val="0"/>
          <w:color w:val="auto"/>
          <w:highlight w:val="none"/>
          <w:lang w:eastAsia="zh-CN"/>
        </w:rPr>
        <w:t>财政拨款收入</w:t>
      </w:r>
      <w:r>
        <w:rPr>
          <w:rStyle w:val="24"/>
          <w:rFonts w:hint="eastAsia" w:ascii="仿宋" w:hAnsi="仿宋" w:eastAsia="仿宋"/>
          <w:b w:val="0"/>
          <w:bCs w:val="0"/>
          <w:color w:val="auto"/>
          <w:highlight w:val="none"/>
        </w:rPr>
        <w:t>支出决算表</w:t>
      </w:r>
      <w:bookmarkEnd w:id="100"/>
    </w:p>
    <w:p>
      <w:pPr>
        <w:pStyle w:val="4"/>
        <w:rPr>
          <w:rFonts w:ascii="仿宋" w:hAnsi="仿宋" w:eastAsia="仿宋"/>
          <w:color w:val="auto"/>
          <w:highlight w:val="none"/>
        </w:rPr>
      </w:pPr>
      <w:bookmarkStart w:id="101" w:name="_Toc15396630"/>
      <w:bookmarkStart w:id="102" w:name="_Toc25862"/>
      <w:r>
        <w:rPr>
          <w:rStyle w:val="24"/>
          <w:rFonts w:hint="eastAsia" w:ascii="仿宋" w:hAnsi="仿宋" w:eastAsia="仿宋"/>
          <w:b w:val="0"/>
          <w:bCs w:val="0"/>
          <w:color w:val="auto"/>
          <w:highlight w:val="none"/>
        </w:rPr>
        <w:t>十二、</w:t>
      </w:r>
      <w:bookmarkEnd w:id="101"/>
      <w:r>
        <w:rPr>
          <w:rStyle w:val="24"/>
          <w:rFonts w:hint="eastAsia" w:ascii="仿宋" w:hAnsi="仿宋" w:eastAsia="仿宋"/>
          <w:b w:val="0"/>
          <w:bCs w:val="0"/>
          <w:color w:val="auto"/>
          <w:highlight w:val="none"/>
          <w:lang w:eastAsia="zh-CN"/>
        </w:rPr>
        <w:t>国有资本经营预算财政拨款支出决算表</w:t>
      </w:r>
      <w:bookmarkEnd w:id="102"/>
    </w:p>
    <w:p>
      <w:pPr>
        <w:pStyle w:val="4"/>
        <w:rPr>
          <w:rFonts w:hint="eastAsia" w:eastAsia="仿宋"/>
          <w:color w:val="auto"/>
          <w:highlight w:val="none"/>
          <w:lang w:eastAsia="zh-CN"/>
        </w:rPr>
      </w:pPr>
      <w:bookmarkStart w:id="103" w:name="_Toc15396631"/>
      <w:bookmarkStart w:id="104" w:name="_Toc2489"/>
      <w:r>
        <w:rPr>
          <w:rStyle w:val="24"/>
          <w:rFonts w:hint="eastAsia" w:ascii="仿宋" w:hAnsi="仿宋" w:eastAsia="仿宋"/>
          <w:b w:val="0"/>
          <w:bCs w:val="0"/>
          <w:color w:val="auto"/>
          <w:highlight w:val="none"/>
        </w:rPr>
        <w:t>十三、</w:t>
      </w:r>
      <w:bookmarkEnd w:id="103"/>
      <w:r>
        <w:rPr>
          <w:rStyle w:val="24"/>
          <w:rFonts w:hint="eastAsia" w:ascii="仿宋" w:hAnsi="仿宋" w:eastAsia="仿宋"/>
          <w:b w:val="0"/>
          <w:bCs w:val="0"/>
          <w:color w:val="auto"/>
          <w:highlight w:val="none"/>
          <w:lang w:eastAsia="zh-CN"/>
        </w:rPr>
        <w:t>财政拨款“三公”经费支出决算表</w:t>
      </w:r>
      <w:bookmarkEnd w:id="104"/>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Georgia"/>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sdt>
                    <w:sdtPr>
                      <w:id w:val="-1"/>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08A310"/>
    <w:multiLevelType w:val="singleLevel"/>
    <w:tmpl w:val="A308A310"/>
    <w:lvl w:ilvl="0" w:tentative="0">
      <w:start w:val="1"/>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735A742"/>
    <w:multiLevelType w:val="singleLevel"/>
    <w:tmpl w:val="3735A742"/>
    <w:lvl w:ilvl="0" w:tentative="0">
      <w:start w:val="1"/>
      <w:numFmt w:val="decimal"/>
      <w:suff w:val="nothing"/>
      <w:lvlText w:val="%1．"/>
      <w:lvlJc w:val="left"/>
      <w:pPr>
        <w:ind w:left="0" w:firstLine="400"/>
      </w:pPr>
      <w:rPr>
        <w:rFonts w:hint="default"/>
        <w:color w:val="auto"/>
        <w:sz w:val="32"/>
        <w:szCs w:val="32"/>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143E91"/>
    <w:rsid w:val="02A76C54"/>
    <w:rsid w:val="04B33C44"/>
    <w:rsid w:val="066E0107"/>
    <w:rsid w:val="07996F6E"/>
    <w:rsid w:val="08FE52AE"/>
    <w:rsid w:val="0A2032A3"/>
    <w:rsid w:val="0F98263C"/>
    <w:rsid w:val="101860EC"/>
    <w:rsid w:val="108F5D13"/>
    <w:rsid w:val="10C055FF"/>
    <w:rsid w:val="118107EC"/>
    <w:rsid w:val="13566072"/>
    <w:rsid w:val="13D50BC4"/>
    <w:rsid w:val="16BB723D"/>
    <w:rsid w:val="18796541"/>
    <w:rsid w:val="1BE8440E"/>
    <w:rsid w:val="1D155CEE"/>
    <w:rsid w:val="1FF35744"/>
    <w:rsid w:val="20BA0F91"/>
    <w:rsid w:val="23860B96"/>
    <w:rsid w:val="240371BF"/>
    <w:rsid w:val="26C26CF7"/>
    <w:rsid w:val="29FD04D3"/>
    <w:rsid w:val="2C8A61B5"/>
    <w:rsid w:val="2DF04E50"/>
    <w:rsid w:val="2F040D46"/>
    <w:rsid w:val="306D4B10"/>
    <w:rsid w:val="319F7F4E"/>
    <w:rsid w:val="323A7B88"/>
    <w:rsid w:val="32A620F0"/>
    <w:rsid w:val="32A9493D"/>
    <w:rsid w:val="3304709D"/>
    <w:rsid w:val="330A6643"/>
    <w:rsid w:val="36873BAC"/>
    <w:rsid w:val="36AA5135"/>
    <w:rsid w:val="37541DEE"/>
    <w:rsid w:val="37665B84"/>
    <w:rsid w:val="376D39B2"/>
    <w:rsid w:val="378E2D83"/>
    <w:rsid w:val="37E16F03"/>
    <w:rsid w:val="38D469F0"/>
    <w:rsid w:val="3BFF6762"/>
    <w:rsid w:val="3D1B27AF"/>
    <w:rsid w:val="3D98207C"/>
    <w:rsid w:val="3E78745D"/>
    <w:rsid w:val="413EFA64"/>
    <w:rsid w:val="42DA3889"/>
    <w:rsid w:val="44E268DA"/>
    <w:rsid w:val="4A627F82"/>
    <w:rsid w:val="4B0E749A"/>
    <w:rsid w:val="4B4F25DA"/>
    <w:rsid w:val="4BA26273"/>
    <w:rsid w:val="4BE068DB"/>
    <w:rsid w:val="4D577224"/>
    <w:rsid w:val="4EAB630A"/>
    <w:rsid w:val="4ECE2238"/>
    <w:rsid w:val="507F0A3C"/>
    <w:rsid w:val="50F639B0"/>
    <w:rsid w:val="537E6D0A"/>
    <w:rsid w:val="577328A2"/>
    <w:rsid w:val="5AF92295"/>
    <w:rsid w:val="5CD71FC4"/>
    <w:rsid w:val="6C4A05C8"/>
    <w:rsid w:val="6E7E3605"/>
    <w:rsid w:val="6FF5CC65"/>
    <w:rsid w:val="7024120B"/>
    <w:rsid w:val="715C0E4B"/>
    <w:rsid w:val="72734D90"/>
    <w:rsid w:val="72C232B3"/>
    <w:rsid w:val="73AD73D5"/>
    <w:rsid w:val="73B6EB34"/>
    <w:rsid w:val="744731E5"/>
    <w:rsid w:val="76E3355F"/>
    <w:rsid w:val="778769C8"/>
    <w:rsid w:val="795429A7"/>
    <w:rsid w:val="79EE5BA4"/>
    <w:rsid w:val="7A894339"/>
    <w:rsid w:val="7C126149"/>
    <w:rsid w:val="7EEF11D3"/>
    <w:rsid w:val="7FA30C79"/>
    <w:rsid w:val="7FB7269E"/>
    <w:rsid w:val="7FC96657"/>
    <w:rsid w:val="BFFE84F1"/>
    <w:rsid w:val="D8D6DB89"/>
    <w:rsid w:val="DAFF022B"/>
    <w:rsid w:val="DB6F4CAB"/>
    <w:rsid w:val="DF6F9789"/>
    <w:rsid w:val="EFDA246B"/>
    <w:rsid w:val="FFFA30E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qFormat="1"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0">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7">
    <w:name w:val="Body Text"/>
    <w:basedOn w:val="1"/>
    <w:next w:val="8"/>
    <w:link w:val="32"/>
    <w:qFormat/>
    <w:uiPriority w:val="99"/>
    <w:pPr>
      <w:spacing w:beforeLines="30"/>
    </w:pPr>
    <w:rPr>
      <w:rFonts w:ascii="仿宋_GB2312" w:eastAsia="仿宋_GB2312"/>
      <w:kern w:val="0"/>
      <w:sz w:val="30"/>
    </w:rPr>
  </w:style>
  <w:style w:type="paragraph" w:styleId="8">
    <w:name w:val="Body Text 2"/>
    <w:basedOn w:val="1"/>
    <w:semiHidden/>
    <w:unhideWhenUsed/>
    <w:qFormat/>
    <w:uiPriority w:val="99"/>
    <w:pPr>
      <w:keepNext w:val="0"/>
      <w:keepLines w:val="0"/>
      <w:widowControl/>
      <w:suppressLineNumbers w:val="0"/>
      <w:spacing w:before="0" w:beforeAutospacing="0" w:after="0" w:afterAutospacing="0" w:line="400" w:lineRule="atLeast"/>
      <w:ind w:left="0" w:right="0"/>
      <w:jc w:val="left"/>
    </w:pPr>
    <w:rPr>
      <w:rFonts w:hint="default" w:ascii="Times New Roman" w:hAnsi="Times New Roman" w:cs="Times New Roman"/>
      <w:kern w:val="0"/>
      <w:sz w:val="21"/>
      <w:szCs w:val="21"/>
      <w:lang w:val="en-US" w:eastAsia="zh-CN" w:bidi="ar"/>
    </w:rPr>
  </w:style>
  <w:style w:type="paragraph" w:styleId="9">
    <w:name w:val="Body Text Indent"/>
    <w:basedOn w:val="1"/>
    <w:qFormat/>
    <w:uiPriority w:val="0"/>
    <w:pPr>
      <w:spacing w:after="120"/>
      <w:ind w:leftChars="200"/>
    </w:pPr>
    <w:rPr>
      <w:rFonts w:ascii="仿宋_GB2312"/>
      <w:szCs w:val="32"/>
    </w:r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6"/>
    <w:semiHidden/>
    <w:unhideWhenUsed/>
    <w:qFormat/>
    <w:uiPriority w:val="99"/>
    <w:rPr>
      <w:sz w:val="18"/>
      <w:szCs w:val="18"/>
    </w:rPr>
  </w:style>
  <w:style w:type="paragraph" w:styleId="12">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able of figures"/>
    <w:basedOn w:val="1"/>
    <w:next w:val="1"/>
    <w:semiHidden/>
    <w:qFormat/>
    <w:uiPriority w:val="99"/>
    <w:pPr>
      <w:ind w:left="200" w:leftChars="200" w:hanging="200" w:hangingChars="200"/>
    </w:p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8">
    <w:name w:val="Body Text First Indent 2"/>
    <w:basedOn w:val="9"/>
    <w:next w:val="1"/>
    <w:unhideWhenUsed/>
    <w:qFormat/>
    <w:uiPriority w:val="99"/>
    <w:pPr>
      <w:ind w:firstLine="420" w:firstLineChars="200"/>
    </w:pPr>
  </w:style>
  <w:style w:type="character" w:styleId="21">
    <w:name w:val="Strong"/>
    <w:basedOn w:val="20"/>
    <w:qFormat/>
    <w:uiPriority w:val="99"/>
    <w:rPr>
      <w:b/>
    </w:rPr>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customStyle="1" w:styleId="23">
    <w:name w:val="标题 1 Char"/>
    <w:basedOn w:val="20"/>
    <w:link w:val="3"/>
    <w:qFormat/>
    <w:uiPriority w:val="9"/>
    <w:rPr>
      <w:rFonts w:ascii="Times New Roman" w:hAnsi="Times New Roman"/>
      <w:b/>
      <w:bCs/>
      <w:kern w:val="44"/>
      <w:sz w:val="44"/>
      <w:szCs w:val="44"/>
    </w:rPr>
  </w:style>
  <w:style w:type="character" w:customStyle="1" w:styleId="24">
    <w:name w:val="标题 2 Char"/>
    <w:basedOn w:val="20"/>
    <w:link w:val="4"/>
    <w:qFormat/>
    <w:uiPriority w:val="9"/>
    <w:rPr>
      <w:rFonts w:asciiTheme="majorHAnsi" w:hAnsiTheme="majorHAnsi" w:eastAsiaTheme="majorEastAsia" w:cstheme="majorBidi"/>
      <w:b/>
      <w:bCs/>
      <w:kern w:val="2"/>
      <w:sz w:val="32"/>
      <w:szCs w:val="32"/>
    </w:rPr>
  </w:style>
  <w:style w:type="character" w:customStyle="1" w:styleId="25">
    <w:name w:val="标题 3 Char"/>
    <w:basedOn w:val="20"/>
    <w:link w:val="5"/>
    <w:qFormat/>
    <w:uiPriority w:val="9"/>
    <w:rPr>
      <w:rFonts w:ascii="Times New Roman" w:hAnsi="Times New Roman"/>
      <w:b/>
      <w:bCs/>
      <w:kern w:val="2"/>
      <w:sz w:val="32"/>
      <w:szCs w:val="32"/>
    </w:rPr>
  </w:style>
  <w:style w:type="paragraph" w:customStyle="1" w:styleId="26">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7">
    <w:name w:val="Header Char"/>
    <w:basedOn w:val="20"/>
    <w:semiHidden/>
    <w:qFormat/>
    <w:uiPriority w:val="99"/>
    <w:rPr>
      <w:rFonts w:ascii="Times New Roman" w:hAnsi="Times New Roman"/>
      <w:sz w:val="18"/>
      <w:szCs w:val="18"/>
    </w:rPr>
  </w:style>
  <w:style w:type="character" w:customStyle="1" w:styleId="28">
    <w:name w:val="页眉 Char"/>
    <w:link w:val="13"/>
    <w:semiHidden/>
    <w:qFormat/>
    <w:locked/>
    <w:uiPriority w:val="99"/>
    <w:rPr>
      <w:sz w:val="18"/>
    </w:rPr>
  </w:style>
  <w:style w:type="character" w:customStyle="1" w:styleId="29">
    <w:name w:val="Footer Char"/>
    <w:basedOn w:val="20"/>
    <w:semiHidden/>
    <w:qFormat/>
    <w:uiPriority w:val="99"/>
    <w:rPr>
      <w:rFonts w:ascii="Times New Roman" w:hAnsi="Times New Roman"/>
      <w:sz w:val="18"/>
      <w:szCs w:val="18"/>
    </w:rPr>
  </w:style>
  <w:style w:type="character" w:customStyle="1" w:styleId="30">
    <w:name w:val="页脚 Char"/>
    <w:link w:val="12"/>
    <w:qFormat/>
    <w:locked/>
    <w:uiPriority w:val="99"/>
    <w:rPr>
      <w:sz w:val="18"/>
    </w:rPr>
  </w:style>
  <w:style w:type="character" w:customStyle="1" w:styleId="31">
    <w:name w:val="Body Text Char"/>
    <w:basedOn w:val="20"/>
    <w:semiHidden/>
    <w:qFormat/>
    <w:uiPriority w:val="99"/>
    <w:rPr>
      <w:rFonts w:ascii="Times New Roman" w:hAnsi="Times New Roman"/>
      <w:szCs w:val="24"/>
    </w:rPr>
  </w:style>
  <w:style w:type="character" w:customStyle="1" w:styleId="32">
    <w:name w:val="正文文本 Char"/>
    <w:link w:val="7"/>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4">
    <w:name w:val="List Paragraph"/>
    <w:basedOn w:val="1"/>
    <w:qFormat/>
    <w:uiPriority w:val="34"/>
    <w:pPr>
      <w:ind w:firstLine="420" w:firstLineChars="200"/>
    </w:p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20"/>
    <w:link w:val="11"/>
    <w:semiHidden/>
    <w:qFormat/>
    <w:uiPriority w:val="99"/>
    <w:rPr>
      <w:rFonts w:ascii="Times New Roman" w:hAnsi="Times New Roman"/>
      <w:kern w:val="2"/>
      <w:sz w:val="18"/>
      <w:szCs w:val="18"/>
    </w:rPr>
  </w:style>
  <w:style w:type="paragraph" w:customStyle="1" w:styleId="3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收入支出决算总体情况图</a:t>
            </a:r>
          </a:p>
        </c:rich>
      </c:tx>
      <c:layout/>
      <c:overlay val="false"/>
      <c:spPr>
        <a:noFill/>
        <a:ln>
          <a:noFill/>
        </a:ln>
        <a:effectLst/>
      </c:spPr>
    </c:title>
    <c:autoTitleDeleted val="false"/>
    <c:plotArea>
      <c:layout>
        <c:manualLayout>
          <c:layoutTarget val="inner"/>
          <c:xMode val="edge"/>
          <c:yMode val="edge"/>
          <c:x val="0.08145"/>
          <c:y val="0.214833333333333"/>
          <c:w val="0.8823"/>
          <c:h val="0.711566666666667"/>
        </c:manualLayout>
      </c:layout>
      <c:barChart>
        <c:barDir val="col"/>
        <c:grouping val="clustered"/>
        <c:varyColors val="false"/>
        <c:ser>
          <c:idx val="0"/>
          <c:order val="0"/>
          <c:tx>
            <c:strRef>
              <c:f>Sheet1!$B$1</c:f>
              <c:strCache>
                <c:ptCount val="1"/>
                <c:pt idx="0">
                  <c:v>收入</c:v>
                </c:pt>
              </c:strCache>
            </c:strRef>
          </c:tx>
          <c:spPr>
            <a:solidFill>
              <a:schemeClr val="accent1"/>
            </a:solidFill>
            <a:ln>
              <a:noFill/>
            </a:ln>
            <a:effectLst/>
          </c:spPr>
          <c:invertIfNegative val="false"/>
          <c:dLbls>
            <c:delete val="true"/>
          </c:dLbls>
          <c:cat>
            <c:numRef>
              <c:f>Sheet1!$A$2:$A$3</c:f>
              <c:numCache>
                <c:formatCode>General</c:formatCode>
                <c:ptCount val="2"/>
                <c:pt idx="0">
                  <c:v>2021</c:v>
                </c:pt>
                <c:pt idx="1">
                  <c:v>2022</c:v>
                </c:pt>
              </c:numCache>
            </c:numRef>
          </c:cat>
          <c:val>
            <c:numRef>
              <c:f>Sheet1!$B$2:$B$3</c:f>
              <c:numCache>
                <c:formatCode>General</c:formatCode>
                <c:ptCount val="2"/>
                <c:pt idx="0">
                  <c:v>72.15</c:v>
                </c:pt>
                <c:pt idx="1">
                  <c:v>72.61</c:v>
                </c:pt>
              </c:numCache>
            </c:numRef>
          </c:val>
        </c:ser>
        <c:ser>
          <c:idx val="1"/>
          <c:order val="1"/>
          <c:tx>
            <c:strRef>
              <c:f>Sheet1!$C$1</c:f>
              <c:strCache>
                <c:ptCount val="1"/>
                <c:pt idx="0">
                  <c:v>支出</c:v>
                </c:pt>
              </c:strCache>
            </c:strRef>
          </c:tx>
          <c:spPr>
            <a:solidFill>
              <a:schemeClr val="accent2"/>
            </a:solidFill>
            <a:ln>
              <a:noFill/>
            </a:ln>
            <a:effectLst/>
          </c:spPr>
          <c:invertIfNegative val="false"/>
          <c:dLbls>
            <c:delete val="true"/>
          </c:dLbls>
          <c:cat>
            <c:numRef>
              <c:f>Sheet1!$A$2:$A$3</c:f>
              <c:numCache>
                <c:formatCode>General</c:formatCode>
                <c:ptCount val="2"/>
                <c:pt idx="0">
                  <c:v>2021</c:v>
                </c:pt>
                <c:pt idx="1">
                  <c:v>2022</c:v>
                </c:pt>
              </c:numCache>
            </c:numRef>
          </c:cat>
          <c:val>
            <c:numRef>
              <c:f>Sheet1!$C$2:$C$3</c:f>
              <c:numCache>
                <c:formatCode>General</c:formatCode>
                <c:ptCount val="2"/>
                <c:pt idx="0">
                  <c:v>72.15</c:v>
                </c:pt>
                <c:pt idx="1">
                  <c:v>72.61</c:v>
                </c:pt>
              </c:numCache>
            </c:numRef>
          </c:val>
        </c:ser>
        <c:dLbls>
          <c:showLegendKey val="false"/>
          <c:showVal val="false"/>
          <c:showCatName val="false"/>
          <c:showSerName val="false"/>
          <c:showPercent val="false"/>
          <c:showBubbleSize val="false"/>
        </c:dLbls>
        <c:gapWidth val="219"/>
        <c:overlap val="-27"/>
        <c:axId val="645061732"/>
        <c:axId val="740996365"/>
      </c:barChart>
      <c:catAx>
        <c:axId val="64506173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0996365"/>
        <c:crosses val="autoZero"/>
        <c:auto val="true"/>
        <c:lblAlgn val="ctr"/>
        <c:lblOffset val="100"/>
        <c:noMultiLvlLbl val="false"/>
      </c:catAx>
      <c:valAx>
        <c:axId val="740996365"/>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45061732"/>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rPr altLang="en-US"/>
              <a:t>收入决算结构图</a:t>
            </a:r>
            <a:endParaRPr lang="en-US" altLang="zh-CN"/>
          </a:p>
        </c:rich>
      </c:tx>
      <c:layout>
        <c:manualLayout>
          <c:xMode val="edge"/>
          <c:yMode val="edge"/>
          <c:x val="0.441816204458945"/>
          <c:y val="0.0229797012638836"/>
        </c:manualLayout>
      </c:layout>
      <c:overlay val="false"/>
      <c:spPr>
        <a:noFill/>
        <a:ln>
          <a:noFill/>
        </a:ln>
        <a:effectLst/>
      </c:spPr>
    </c:title>
    <c:autoTitleDeleted val="false"/>
    <c:plotArea>
      <c:layout>
        <c:manualLayout>
          <c:layoutTarget val="inner"/>
          <c:xMode val="edge"/>
          <c:yMode val="edge"/>
          <c:x val="0.0334504662792269"/>
          <c:y val="0.156039009752438"/>
          <c:w val="0.574942559805379"/>
          <c:h val="0.797824456114029"/>
        </c:manualLayout>
      </c:layout>
      <c:pieChart>
        <c:varyColors val="true"/>
        <c:ser>
          <c:idx val="0"/>
          <c:order val="0"/>
          <c:tx>
            <c:strRef>
              <c:f>Sheet1!$B$1</c:f>
              <c:strCache>
                <c:ptCount val="1"/>
                <c:pt idx="0">
                  <c:v>收入情况</c:v>
                </c:pt>
              </c:strCache>
            </c:strRef>
          </c:tx>
          <c:spPr/>
          <c:explosion val="0"/>
          <c:dPt>
            <c:idx val="0"/>
            <c:bubble3D val="false"/>
            <c:spPr>
              <a:solidFill>
                <a:schemeClr val="accent1"/>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true"/>
              <a:lstStyle/>
              <a:p>
                <a:pPr>
                  <a:defRPr lang="zh-CN" sz="1000" b="1" i="0" u="none" strike="noStrike" kern="1200" baseline="0">
                    <a:solidFill>
                      <a:schemeClr val="lt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c:f>
              <c:strCache>
                <c:ptCount val="1"/>
                <c:pt idx="0">
                  <c:v>一般公共预算财政拨款收入</c:v>
                </c:pt>
              </c:strCache>
            </c:strRef>
          </c:cat>
          <c:val>
            <c:numRef>
              <c:f>Sheet1!$B$2</c:f>
              <c:numCache>
                <c:formatCode>General</c:formatCode>
                <c:ptCount val="1"/>
                <c:pt idx="0">
                  <c:v>1037.53</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solidFill>
          <a:schemeClr val="lt1">
            <a:lumMod val="95000"/>
            <a:alpha val="39000"/>
          </a:schemeClr>
        </a:solidFill>
        <a:ln>
          <a:noFill/>
        </a:ln>
        <a:effectLst/>
      </c:spPr>
      <c:txPr>
        <a:bodyPr rot="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支出决算结构图</a:t>
            </a:r>
          </a:p>
        </c:rich>
      </c:tx>
      <c:layout>
        <c:manualLayout>
          <c:xMode val="edge"/>
          <c:yMode val="edge"/>
          <c:x val="0.534155363748459"/>
          <c:y val="0.0326504481434059"/>
        </c:manualLayout>
      </c:layout>
      <c:overlay val="false"/>
      <c:spPr>
        <a:noFill/>
        <a:ln>
          <a:noFill/>
        </a:ln>
        <a:effectLst/>
      </c:spPr>
    </c:title>
    <c:autoTitleDeleted val="false"/>
    <c:plotArea>
      <c:layout>
        <c:manualLayout>
          <c:layoutTarget val="inner"/>
          <c:xMode val="edge"/>
          <c:yMode val="edge"/>
          <c:x val="0.0577065351418002"/>
          <c:y val="0.111609048228767"/>
          <c:w val="0.482120838471023"/>
          <c:h val="0.834400341442595"/>
        </c:manualLayout>
      </c:layout>
      <c:pieChart>
        <c:varyColors val="true"/>
        <c:ser>
          <c:idx val="0"/>
          <c:order val="0"/>
          <c:tx>
            <c:strRef>
              <c:f>Sheet1!$B$1</c:f>
              <c:strCache>
                <c:ptCount val="1"/>
                <c:pt idx="0">
                  <c:v>收入情况</c:v>
                </c:pt>
              </c:strCache>
            </c:strRef>
          </c:tx>
          <c:spPr/>
          <c:explosion val="0"/>
          <c:dPt>
            <c:idx val="0"/>
            <c:bubble3D val="false"/>
            <c:spPr>
              <a:solidFill>
                <a:schemeClr val="accent1"/>
              </a:solidFill>
              <a:ln>
                <a:noFill/>
              </a:ln>
              <a:effectLst>
                <a:outerShdw blurRad="254000" sx="102000" sy="102000" algn="ctr" rotWithShape="0">
                  <a:prstClr val="black">
                    <a:alpha val="20000"/>
                  </a:prstClr>
                </a:outerShdw>
              </a:effectLst>
            </c:spPr>
          </c:dPt>
          <c:dPt>
            <c:idx val="1"/>
            <c:bubble3D val="false"/>
            <c:explosion val="0"/>
            <c:spPr>
              <a:solidFill>
                <a:schemeClr val="accent2"/>
              </a:solidFill>
              <a:ln>
                <a:noFill/>
              </a:ln>
              <a:effectLst>
                <a:outerShdw blurRad="254000" sx="102000" sy="102000" algn="ctr" rotWithShape="0">
                  <a:prstClr val="black">
                    <a:alpha val="20000"/>
                  </a:prstClr>
                </a:outerShdw>
              </a:effectLst>
            </c:spPr>
          </c:dPt>
          <c:dPt>
            <c:idx val="2"/>
            <c:bubble3D val="false"/>
            <c:spPr>
              <a:solidFill>
                <a:schemeClr val="accent3"/>
              </a:solidFill>
              <a:ln>
                <a:noFill/>
              </a:ln>
              <a:effectLst>
                <a:outerShdw blurRad="254000" sx="102000" sy="102000" algn="ctr" rotWithShape="0">
                  <a:prstClr val="black">
                    <a:alpha val="20000"/>
                  </a:prstClr>
                </a:outerShdw>
              </a:effectLst>
            </c:spPr>
          </c:dPt>
          <c:dPt>
            <c:idx val="3"/>
            <c:bubble3D val="false"/>
            <c:spPr>
              <a:solidFill>
                <a:schemeClr val="accent4"/>
              </a:solidFill>
              <a:ln>
                <a:noFill/>
              </a:ln>
              <a:effectLst>
                <a:outerShdw blurRad="254000" sx="102000" sy="102000" algn="ctr" rotWithShape="0">
                  <a:prstClr val="black">
                    <a:alpha val="20000"/>
                  </a:prstClr>
                </a:outerShdw>
              </a:effectLst>
            </c:spPr>
          </c:dPt>
          <c:dPt>
            <c:idx val="4"/>
            <c:bubble3D val="false"/>
            <c:spPr>
              <a:solidFill>
                <a:schemeClr val="accent5"/>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true"/>
              <a:lstStyle/>
              <a:p>
                <a:pPr>
                  <a:defRPr lang="zh-CN" sz="1000" b="1" i="0" u="none" strike="noStrike" kern="1200" baseline="0">
                    <a:solidFill>
                      <a:schemeClr val="lt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Sheet1!$A$2:$A$6</c:f>
              <c:strCache>
                <c:ptCount val="5"/>
                <c:pt idx="0">
                  <c:v>基本支出</c:v>
                </c:pt>
                <c:pt idx="1">
                  <c:v>项目支出</c:v>
                </c:pt>
              </c:strCache>
            </c:strRef>
          </c:cat>
          <c:val>
            <c:numRef>
              <c:f>Sheet1!$B$2:$B$6</c:f>
              <c:numCache>
                <c:formatCode>General</c:formatCode>
                <c:ptCount val="5"/>
                <c:pt idx="0">
                  <c:v>52.4</c:v>
                </c:pt>
                <c:pt idx="1">
                  <c:v>20.21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egendEntry>
        <c:idx val="2"/>
        <c:delete val="true"/>
      </c:legendEntry>
      <c:legendEntry>
        <c:idx val="3"/>
        <c:delete val="true"/>
      </c:legendEntry>
      <c:legendEntry>
        <c:idx val="4"/>
        <c:delete val="true"/>
      </c:legendEntry>
      <c:layout>
        <c:manualLayout>
          <c:xMode val="edge"/>
          <c:yMode val="edge"/>
          <c:x val="0.85726872246696"/>
          <c:y val="0.382762046696473"/>
          <c:w val="0.127627438640655"/>
          <c:h val="0.185543964232489"/>
        </c:manualLayout>
      </c:layout>
      <c:overlay val="false"/>
      <c:spPr>
        <a:solidFill>
          <a:schemeClr val="lt1">
            <a:lumMod val="95000"/>
            <a:alpha val="39000"/>
          </a:schemeClr>
        </a:solidFill>
        <a:ln>
          <a:noFill/>
        </a:ln>
        <a:effectLst/>
      </c:spPr>
      <c:txPr>
        <a:bodyPr rot="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财政拨款收入、支出决算总体情况图</a:t>
            </a:r>
          </a:p>
        </c:rich>
      </c:tx>
      <c:layout>
        <c:manualLayout>
          <c:xMode val="edge"/>
          <c:yMode val="edge"/>
          <c:x val="0.299"/>
          <c:y val="0.0243333333333333"/>
        </c:manualLayout>
      </c:layout>
      <c:overlay val="false"/>
      <c:spPr>
        <a:noFill/>
        <a:ln>
          <a:noFill/>
        </a:ln>
        <a:effectLst/>
      </c:spPr>
    </c:title>
    <c:autoTitleDeleted val="false"/>
    <c:plotArea>
      <c:layout>
        <c:manualLayout>
          <c:layoutTarget val="inner"/>
          <c:xMode val="edge"/>
          <c:yMode val="edge"/>
          <c:x val="0.070575"/>
          <c:y val="0.2085"/>
          <c:w val="0.89655"/>
          <c:h val="0.711566666666667"/>
        </c:manualLayout>
      </c:layout>
      <c:barChart>
        <c:barDir val="col"/>
        <c:grouping val="clustered"/>
        <c:varyColors val="false"/>
        <c:ser>
          <c:idx val="0"/>
          <c:order val="0"/>
          <c:tx>
            <c:strRef>
              <c:f>Sheet1!$B$1</c:f>
              <c:strCache>
                <c:ptCount val="1"/>
                <c:pt idx="0">
                  <c:v>收入</c:v>
                </c:pt>
              </c:strCache>
            </c:strRef>
          </c:tx>
          <c:spPr>
            <a:solidFill>
              <a:schemeClr val="accent1"/>
            </a:solidFill>
            <a:ln>
              <a:noFill/>
            </a:ln>
            <a:effectLst/>
          </c:spPr>
          <c:invertIfNegative val="false"/>
          <c:dLbls>
            <c:delete val="true"/>
          </c:dLbls>
          <c:cat>
            <c:numRef>
              <c:f>Sheet1!$A$2:$A$3</c:f>
              <c:numCache>
                <c:formatCode>General</c:formatCode>
                <c:ptCount val="2"/>
                <c:pt idx="0">
                  <c:v>2021</c:v>
                </c:pt>
                <c:pt idx="1">
                  <c:v>2022</c:v>
                </c:pt>
              </c:numCache>
            </c:numRef>
          </c:cat>
          <c:val>
            <c:numRef>
              <c:f>Sheet1!$B$2:$B$3</c:f>
              <c:numCache>
                <c:formatCode>General</c:formatCode>
                <c:ptCount val="2"/>
                <c:pt idx="0">
                  <c:v>72.15</c:v>
                </c:pt>
                <c:pt idx="1">
                  <c:v>72.61</c:v>
                </c:pt>
              </c:numCache>
            </c:numRef>
          </c:val>
        </c:ser>
        <c:ser>
          <c:idx val="1"/>
          <c:order val="1"/>
          <c:tx>
            <c:strRef>
              <c:f>Sheet1!$C$1</c:f>
              <c:strCache>
                <c:ptCount val="1"/>
                <c:pt idx="0">
                  <c:v>支出</c:v>
                </c:pt>
              </c:strCache>
            </c:strRef>
          </c:tx>
          <c:spPr>
            <a:solidFill>
              <a:schemeClr val="accent2"/>
            </a:solidFill>
            <a:ln>
              <a:noFill/>
            </a:ln>
            <a:effectLst/>
          </c:spPr>
          <c:invertIfNegative val="false"/>
          <c:dLbls>
            <c:delete val="true"/>
          </c:dLbls>
          <c:cat>
            <c:numRef>
              <c:f>Sheet1!$A$2:$A$3</c:f>
              <c:numCache>
                <c:formatCode>General</c:formatCode>
                <c:ptCount val="2"/>
                <c:pt idx="0">
                  <c:v>2021</c:v>
                </c:pt>
                <c:pt idx="1">
                  <c:v>2022</c:v>
                </c:pt>
              </c:numCache>
            </c:numRef>
          </c:cat>
          <c:val>
            <c:numRef>
              <c:f>Sheet1!$C$2:$C$3</c:f>
              <c:numCache>
                <c:formatCode>General</c:formatCode>
                <c:ptCount val="2"/>
                <c:pt idx="0">
                  <c:v>72.15</c:v>
                </c:pt>
                <c:pt idx="1">
                  <c:v>72.61</c:v>
                </c:pt>
              </c:numCache>
            </c:numRef>
          </c:val>
        </c:ser>
        <c:dLbls>
          <c:showLegendKey val="false"/>
          <c:showVal val="false"/>
          <c:showCatName val="false"/>
          <c:showSerName val="false"/>
          <c:showPercent val="false"/>
          <c:showBubbleSize val="false"/>
        </c:dLbls>
        <c:gapWidth val="219"/>
        <c:overlap val="-27"/>
        <c:axId val="645061732"/>
        <c:axId val="740996365"/>
      </c:barChart>
      <c:catAx>
        <c:axId val="64506173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0996365"/>
        <c:crosses val="autoZero"/>
        <c:auto val="true"/>
        <c:lblAlgn val="ctr"/>
        <c:lblOffset val="100"/>
        <c:noMultiLvlLbl val="false"/>
      </c:catAx>
      <c:valAx>
        <c:axId val="740996365"/>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45061732"/>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manualLayout>
          <c:layoutTarget val="inner"/>
          <c:xMode val="edge"/>
          <c:yMode val="edge"/>
          <c:x val="0.115876445913309"/>
          <c:y val="0.270969098171116"/>
          <c:w val="0.880310156349307"/>
          <c:h val="0.636199285263822"/>
        </c:manualLayout>
      </c:layout>
      <c:barChart>
        <c:barDir val="col"/>
        <c:grouping val="clustered"/>
        <c:varyColors val="false"/>
        <c:ser>
          <c:idx val="0"/>
          <c:order val="0"/>
          <c:tx>
            <c:strRef>
              <c:f>Sheet1!$B$1</c:f>
              <c:strCache>
                <c:ptCount val="1"/>
                <c:pt idx="0">
                  <c:v>一般公共服务预算支出</c:v>
                </c:pt>
              </c:strCache>
            </c:strRef>
          </c:tx>
          <c:spPr>
            <a:solidFill>
              <a:schemeClr val="accent1"/>
            </a:solidFill>
            <a:ln>
              <a:noFill/>
            </a:ln>
            <a:effectLst/>
          </c:spPr>
          <c:invertIfNegative val="false"/>
          <c:dLbls>
            <c:delete val="true"/>
          </c:dLbls>
          <c:cat>
            <c:numRef>
              <c:f>Sheet1!$A$2:$A$3</c:f>
              <c:numCache>
                <c:formatCode>General</c:formatCode>
                <c:ptCount val="2"/>
                <c:pt idx="0">
                  <c:v>2021</c:v>
                </c:pt>
                <c:pt idx="1">
                  <c:v>2022</c:v>
                </c:pt>
              </c:numCache>
            </c:numRef>
          </c:cat>
          <c:val>
            <c:numRef>
              <c:f>Sheet1!$B$2:$B$3</c:f>
              <c:numCache>
                <c:formatCode>General</c:formatCode>
                <c:ptCount val="2"/>
                <c:pt idx="0">
                  <c:v>71.25</c:v>
                </c:pt>
                <c:pt idx="1">
                  <c:v>72.61</c:v>
                </c:pt>
              </c:numCache>
            </c:numRef>
          </c:val>
        </c:ser>
        <c:dLbls>
          <c:showLegendKey val="false"/>
          <c:showVal val="false"/>
          <c:showCatName val="false"/>
          <c:showSerName val="false"/>
          <c:showPercent val="false"/>
          <c:showBubbleSize val="false"/>
        </c:dLbls>
        <c:gapWidth val="219"/>
        <c:overlap val="-27"/>
        <c:axId val="438935992"/>
        <c:axId val="977560557"/>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系列 2</c:v>
                      </c:pt>
                    </c:strCache>
                  </c:strRef>
                </c:tx>
                <c:spPr>
                  <a:solidFill>
                    <a:schemeClr val="bg1"/>
                  </a:solidFill>
                  <a:ln>
                    <a:noFill/>
                  </a:ln>
                  <a:effectLst/>
                </c:spPr>
                <c:invertIfNegative val="false"/>
                <c:dLbls>
                  <c:delete val="true"/>
                </c:dLbls>
                <c:cat>
                  <c:numRef>
                    <c:extLst>
                      <c:ext uri="{02D57815-91ED-43cb-92C2-25804820EDAC}">
                        <c15:fullRef>
                          <c15:sqref/>
                        </c15:fullRef>
                        <c15:formulaRef>
                          <c15:sqref>Sheet1!$A$2:$A$3</c15:sqref>
                        </c15:formulaRef>
                      </c:ext>
                    </c:extLst>
                    <c:numCache>
                      <c:formatCode>General</c:formatCode>
                      <c:ptCount val="2"/>
                      <c:pt idx="0">
                        <c:v>2021</c:v>
                      </c:pt>
                      <c:pt idx="1">
                        <c:v>2022</c:v>
                      </c:pt>
                    </c:numCache>
                  </c:numRef>
                </c:cat>
                <c:val>
                  <c:numRef>
                    <c:extLst>
                      <c:ext uri="{02D57815-91ED-43cb-92C2-25804820EDAC}">
                        <c15:formulaRef>
                          <c15:sqref>Sheet1!$C$2:$C$5</c15:sqref>
                        </c15:formulaRef>
                      </c:ext>
                    </c:extLst>
                    <c:numCache>
                      <c:formatCode>General</c:formatCode>
                      <c:ptCount val="4"/>
                      <c:pt idx="0">
                        <c:v>71.25</c:v>
                      </c:pt>
                      <c:pt idx="1">
                        <c:v>72.61</c:v>
                      </c:pt>
                      <c:pt idx="2">
                        <c:v>1.8</c:v>
                      </c:pt>
                      <c:pt idx="3">
                        <c:v>2.8</c:v>
                      </c:pt>
                    </c:numCache>
                  </c:numRef>
                </c:val>
              </c15:ser>
            </c15:filteredBarSeries>
            <c15:filteredBarSeries>
              <c15:ser>
                <c:idx val="2"/>
                <c:order val="2"/>
                <c:tx>
                  <c:strRef>
                    <c:extLst>
                      <c:ext uri="{02D57815-91ED-43cb-92C2-25804820EDAC}">
                        <c15:formulaRef>
                          <c15:sqref>Sheet1!$D$1</c15:sqref>
                        </c15:formulaRef>
                      </c:ext>
                    </c:extLst>
                    <c:strCache>
                      <c:ptCount val="1"/>
                      <c:pt idx="0">
                        <c:v>系列 3</c:v>
                      </c:pt>
                    </c:strCache>
                  </c:strRef>
                </c:tx>
                <c:spPr>
                  <a:solidFill>
                    <a:schemeClr val="bg1"/>
                  </a:solidFill>
                  <a:ln>
                    <a:noFill/>
                  </a:ln>
                  <a:effectLst/>
                </c:spPr>
                <c:invertIfNegative val="false"/>
                <c:dLbls>
                  <c:delete val="true"/>
                </c:dLbls>
                <c:cat>
                  <c:numRef>
                    <c:extLst>
                      <c:ext uri="{02D57815-91ED-43cb-92C2-25804820EDAC}">
                        <c15:fullRef>
                          <c15:sqref/>
                        </c15:fullRef>
                        <c15:formulaRef>
                          <c15:sqref>Sheet1!$A$2:$A$3</c15:sqref>
                        </c15:formulaRef>
                      </c:ext>
                    </c:extLst>
                    <c:numCache>
                      <c:formatCode>General</c:formatCode>
                      <c:ptCount val="2"/>
                      <c:pt idx="0">
                        <c:v>2021</c:v>
                      </c:pt>
                      <c:pt idx="1">
                        <c:v>2022</c:v>
                      </c:pt>
                    </c:numCache>
                  </c:numRef>
                </c:cat>
                <c:val>
                  <c:numRef>
                    <c:extLst>
                      <c:ext uri="{02D57815-91ED-43cb-92C2-25804820EDAC}">
                        <c15:formulaRef>
                          <c15:sqref>Sheet1!$D$2:$D$5</c15:sqref>
                        </c15:formulaRef>
                      </c:ext>
                    </c:extLst>
                    <c:numCache>
                      <c:formatCode>General</c:formatCode>
                      <c:ptCount val="4"/>
                      <c:pt idx="0">
                        <c:v>2</c:v>
                      </c:pt>
                      <c:pt idx="1">
                        <c:v>2</c:v>
                      </c:pt>
                      <c:pt idx="2">
                        <c:v>3</c:v>
                      </c:pt>
                      <c:pt idx="3">
                        <c:v>5</c:v>
                      </c:pt>
                    </c:numCache>
                  </c:numRef>
                </c:val>
              </c15:ser>
            </c15:filteredBarSeries>
          </c:ext>
        </c:extLst>
      </c:barChart>
      <c:catAx>
        <c:axId val="43893599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77560557"/>
        <c:crosses val="autoZero"/>
        <c:auto val="true"/>
        <c:lblAlgn val="ctr"/>
        <c:lblOffset val="100"/>
        <c:noMultiLvlLbl val="false"/>
      </c:catAx>
      <c:valAx>
        <c:axId val="977560557"/>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38935992"/>
        <c:crosses val="autoZero"/>
        <c:crossBetween val="between"/>
      </c:valAx>
      <c:spPr>
        <a:noFill/>
        <a:ln>
          <a:noFill/>
        </a:ln>
        <a:effectLst/>
      </c:spPr>
    </c:plotArea>
    <c:legend>
      <c:legendPos val="b"/>
      <c:layout>
        <c:manualLayout>
          <c:xMode val="edge"/>
          <c:yMode val="edge"/>
          <c:x val="0.659209355535782"/>
          <c:y val="0.488753416018499"/>
          <c:w val="0.320325409940257"/>
          <c:h val="0.0977506832036998"/>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一般公共预算财政拨款支出情况</a:t>
            </a:r>
          </a:p>
        </c:rich>
      </c:tx>
      <c:layout>
        <c:manualLayout>
          <c:xMode val="edge"/>
          <c:yMode val="edge"/>
          <c:x val="0.18111302634819"/>
          <c:y val="0.006"/>
        </c:manualLayout>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noFill/>
              </a:ln>
              <a:effectLst>
                <a:outerShdw blurRad="254000" sx="102000" sy="102000" algn="ctr" rotWithShape="0">
                  <a:prstClr val="black">
                    <a:alpha val="20000"/>
                  </a:prstClr>
                </a:outerShdw>
              </a:effectLst>
            </c:spPr>
          </c:dPt>
          <c:dPt>
            <c:idx val="1"/>
            <c:bubble3D val="false"/>
            <c:spPr>
              <a:solidFill>
                <a:schemeClr val="accent2"/>
              </a:solidFill>
              <a:ln>
                <a:noFill/>
              </a:ln>
              <a:effectLst>
                <a:outerShdw blurRad="254000" sx="102000" sy="102000" algn="ctr" rotWithShape="0">
                  <a:prstClr val="black">
                    <a:alpha val="20000"/>
                  </a:prstClr>
                </a:outerShdw>
              </a:effectLst>
            </c:spPr>
          </c:dPt>
          <c:dPt>
            <c:idx val="2"/>
            <c:bubble3D val="false"/>
            <c:spPr>
              <a:solidFill>
                <a:schemeClr val="accent3"/>
              </a:solidFill>
              <a:ln>
                <a:noFill/>
              </a:ln>
              <a:effectLst>
                <a:outerShdw blurRad="254000" sx="102000" sy="102000" algn="ctr" rotWithShape="0">
                  <a:prstClr val="black">
                    <a:alpha val="20000"/>
                  </a:prstClr>
                </a:outerShdw>
              </a:effectLst>
            </c:spPr>
          </c:dPt>
          <c:dPt>
            <c:idx val="3"/>
            <c:bubble3D val="false"/>
            <c:spPr>
              <a:solidFill>
                <a:schemeClr val="accent4"/>
              </a:solidFill>
              <a:ln>
                <a:noFill/>
              </a:ln>
              <a:effectLst>
                <a:outerShdw blurRad="254000" sx="102000" sy="102000" algn="ctr" rotWithShape="0">
                  <a:prstClr val="black">
                    <a:alpha val="20000"/>
                  </a:prstClr>
                </a:outerShdw>
              </a:effectLst>
            </c:spPr>
          </c:dPt>
          <c:dLbls>
            <c:dLbl>
              <c:idx val="0"/>
              <c:layout>
                <c:manualLayout>
                  <c:x val="-0.0199694819970554"/>
                  <c:y val="0.114257990472786"/>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0446979967547982"/>
                  <c:y val="0.0574715392549073"/>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0746057671939709"/>
                  <c:y val="0.112010153426607"/>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true"/>
              <a:lstStyle/>
              <a:p>
                <a:pPr>
                  <a:defRPr lang="zh-CN" sz="1000" b="1" i="0" u="none" strike="noStrike" kern="1200" baseline="0">
                    <a:solidFill>
                      <a:schemeClr val="lt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Sheet1!$A$2:$A$5</c:f>
              <c:strCache>
                <c:ptCount val="4"/>
                <c:pt idx="0">
                  <c:v>社会保障和就业（类）</c:v>
                </c:pt>
                <c:pt idx="1">
                  <c:v>卫生健康支出（类）</c:v>
                </c:pt>
                <c:pt idx="2">
                  <c:v>住房保障支出（类）</c:v>
                </c:pt>
                <c:pt idx="3">
                  <c:v>一般公共服务（类）支出</c:v>
                </c:pt>
              </c:strCache>
            </c:strRef>
          </c:cat>
          <c:val>
            <c:numRef>
              <c:f>Sheet1!$B$2:$B$5</c:f>
              <c:numCache>
                <c:formatCode>General</c:formatCode>
                <c:ptCount val="4"/>
                <c:pt idx="0">
                  <c:v>1.88</c:v>
                </c:pt>
                <c:pt idx="1">
                  <c:v>0.68</c:v>
                </c:pt>
                <c:pt idx="2">
                  <c:v>1.41</c:v>
                </c:pt>
                <c:pt idx="3">
                  <c:v>68.64</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solidFill>
          <a:schemeClr val="lt1">
            <a:lumMod val="95000"/>
            <a:alpha val="39000"/>
          </a:schemeClr>
        </a:solidFill>
        <a:ln>
          <a:noFill/>
        </a:ln>
        <a:effectLst/>
      </c:spPr>
      <c:txPr>
        <a:bodyPr rot="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三公经费财政拨款支出结构</a:t>
            </a:r>
          </a:p>
        </c:rich>
      </c:tx>
      <c:layout>
        <c:manualLayout>
          <c:xMode val="edge"/>
          <c:yMode val="edge"/>
          <c:x val="0.32201265369464"/>
          <c:y val="0.00580495356037152"/>
        </c:manualLayout>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noFill/>
              </a:ln>
              <a:effectLst>
                <a:outerShdw blurRad="254000" sx="102000" sy="102000" algn="ctr" rotWithShape="0">
                  <a:prstClr val="black">
                    <a:alpha val="20000"/>
                  </a:prstClr>
                </a:outerShdw>
              </a:effectLst>
            </c:spPr>
          </c:dPt>
          <c:dPt>
            <c:idx val="1"/>
            <c:bubble3D val="false"/>
            <c:spPr>
              <a:solidFill>
                <a:schemeClr val="accent2"/>
              </a:solidFill>
              <a:ln>
                <a:noFill/>
              </a:ln>
              <a:effectLst>
                <a:outerShdw blurRad="254000" sx="102000" sy="102000" algn="ctr" rotWithShape="0">
                  <a:prstClr val="black">
                    <a:alpha val="20000"/>
                  </a:prstClr>
                </a:outerShdw>
              </a:effectLst>
            </c:spPr>
          </c:dPt>
          <c:dPt>
            <c:idx val="2"/>
            <c:bubble3D val="false"/>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true"/>
              <a:lstStyle/>
              <a:p>
                <a:pPr>
                  <a:defRPr lang="zh-CN" sz="1000" b="1" i="0" u="none" strike="noStrike" kern="1200" baseline="0">
                    <a:solidFill>
                      <a:schemeClr val="lt1"/>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v>0.22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solidFill>
          <a:schemeClr val="lt1">
            <a:lumMod val="95000"/>
            <a:alpha val="39000"/>
          </a:schemeClr>
        </a:solidFill>
        <a:ln>
          <a:noFill/>
        </a:ln>
        <a:effectLst/>
      </c:spPr>
      <c:txPr>
        <a:bodyPr rot="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legend>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1</Pages>
  <Words>1299</Words>
  <Characters>7410</Characters>
  <Lines>1</Lines>
  <Paragraphs>1</Paragraphs>
  <TotalTime>8</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2020-08-07T01:49:00Z</dcterms:created>
  <dc:creator>曹颖</dc:creator>
  <cp:lastModifiedBy> </cp:lastModifiedBy>
  <cp:lastPrinted>2023-08-02T02:35:00Z</cp:lastPrinted>
  <dcterms:modified xsi:type="dcterms:W3CDTF">2023-10-24T16:56:01Z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13E03FB5FBCD498DB88D70C68C15BF4F_13</vt:lpwstr>
  </property>
</Properties>
</file>